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B3" w:rsidRPr="00F70118" w:rsidRDefault="00B745B3" w:rsidP="00B745B3">
      <w:pPr>
        <w:spacing w:line="340" w:lineRule="exact"/>
        <w:jc w:val="center"/>
        <w:rPr>
          <w:rStyle w:val="Pogrubienie"/>
          <w:rFonts w:asciiTheme="minorHAnsi" w:hAnsiTheme="minorHAnsi" w:cstheme="minorHAnsi"/>
          <w:b w:val="0"/>
          <w:color w:val="002060"/>
        </w:rPr>
      </w:pPr>
      <w:r w:rsidRPr="00F70118">
        <w:rPr>
          <w:rStyle w:val="Pogrubienie"/>
          <w:rFonts w:asciiTheme="minorHAnsi" w:hAnsiTheme="minorHAnsi" w:cstheme="minorHAnsi"/>
          <w:color w:val="002060"/>
        </w:rPr>
        <w:t>Opłaty za korzystanie z nieruchomości Skarbu Państwa</w:t>
      </w:r>
    </w:p>
    <w:p w:rsidR="00B745B3" w:rsidRPr="00F70118" w:rsidRDefault="00B745B3" w:rsidP="00B745B3">
      <w:pPr>
        <w:pStyle w:val="numwielop"/>
        <w:numPr>
          <w:ilvl w:val="0"/>
          <w:numId w:val="4"/>
        </w:numPr>
        <w:rPr>
          <w:color w:val="002060"/>
        </w:rPr>
      </w:pPr>
      <w:r w:rsidRPr="00F70118">
        <w:rPr>
          <w:color w:val="002060"/>
        </w:rPr>
        <w:t>Ogólne zasady ustalania opłat.</w:t>
      </w:r>
    </w:p>
    <w:p w:rsidR="00B745B3" w:rsidRPr="00F70118" w:rsidRDefault="00B745B3" w:rsidP="00B745B3">
      <w:pPr>
        <w:pStyle w:val="normcal12"/>
      </w:pPr>
      <w:r>
        <w:t xml:space="preserve">1.1 </w:t>
      </w:r>
      <w:r w:rsidRPr="00F70118">
        <w:t xml:space="preserve">Opłata roczna za oddanie w użytkowanie gruntów pokrytych wodami  uzależniona jest od rodzaju prowadzonego lub zamierzonego przedsięwzięcia i wynikającej z tego stawki opłaty rocznej, wskazanej w rozporządzeniu Rady Ministrów wydanym na podstawie art. 262 ust. ustawy Prawo wodne z 2017 r. (rozporządzenie z 28 grudnia 2017 r., </w:t>
      </w:r>
      <w:r w:rsidRPr="00F70118">
        <w:rPr>
          <w:i/>
        </w:rPr>
        <w:t>w sprawie wysokości jednostkowej opłaty rocznej za oddanie w użytkowanie gruntów pokrytych wodami)</w:t>
      </w:r>
      <w:r w:rsidRPr="00F70118">
        <w:t>, a także powierzchni niezbędnej do prowadzenia tego przedsięwzięcia. Ustalana jest jako iloczyn powierzchni gruntu i stawki określonej w rozporządzeniu. Wysokość opłaty rocznej oraz zwolnienia nie podlegają negocjowaniu. Wysokość opłaty rocznej ustalana jest proporcjonalnie do okresu prowadzenia działalności.</w:t>
      </w:r>
      <w:bookmarkStart w:id="0" w:name="_Ref247428771"/>
      <w:r w:rsidRPr="00664E90">
        <w:t xml:space="preserve"> </w:t>
      </w:r>
      <w:r w:rsidRPr="00F70118">
        <w:t>Powierzchnię przeznaczoną do dzierżawy, najmu, użyczenia lub użytkowania podaje się w pełnych metrach zaokrąglając każdy „rozpoczęty metr” do góry.</w:t>
      </w:r>
    </w:p>
    <w:p w:rsidR="00B745B3" w:rsidRPr="00F70118" w:rsidRDefault="00B745B3" w:rsidP="00B745B3">
      <w:pPr>
        <w:pStyle w:val="normcal12"/>
      </w:pPr>
      <w:r w:rsidRPr="00F70118">
        <w:t>W umowach, o których mowa w Rozdziale I §3, zawieranych w trybie bezprzetargowym, roczny czynsz dzierżawny (opłatę za najem) wyraża się w szczególności:</w:t>
      </w:r>
    </w:p>
    <w:p w:rsidR="00B745B3" w:rsidRPr="00F70118" w:rsidRDefault="00B745B3" w:rsidP="00B745B3">
      <w:pPr>
        <w:pStyle w:val="numlitery"/>
        <w:numPr>
          <w:ilvl w:val="0"/>
          <w:numId w:val="5"/>
        </w:numPr>
      </w:pPr>
      <w:r w:rsidRPr="00F70118">
        <w:t>sumą pieniężną, określoną w postanowieniach niniejszego rozdziału;</w:t>
      </w:r>
    </w:p>
    <w:p w:rsidR="00B745B3" w:rsidRPr="00F70118" w:rsidRDefault="00B745B3" w:rsidP="00B745B3">
      <w:pPr>
        <w:pStyle w:val="numlitery"/>
      </w:pPr>
      <w:r w:rsidRPr="00F70118">
        <w:t xml:space="preserve">równowartością pieniężną części uzyskiwanego przychodu rocznego z działalności prowadzonej przez dzierżawcę; </w:t>
      </w:r>
    </w:p>
    <w:p w:rsidR="00B745B3" w:rsidRDefault="00B745B3" w:rsidP="00B745B3">
      <w:pPr>
        <w:pStyle w:val="numlitery"/>
      </w:pPr>
      <w:r w:rsidRPr="00F70118">
        <w:t>równowartością pieniężną wielokrotności obowiązującej w danym roku górnej granicy stawki podatku od nieruchomości, o której mowa w art. 5 ust. 1 pkt 1 lit. a ustawy z 12 stycznia 1991 r. o podatkach i opłatach lokalnych, zmienianej obwieszczeniem Ministra Finansów, publikowanym w Dzienniku Urzędowym Rzeczypospolitej Polskiej „Monitor Polski” na podstawie art. 20 ust. 2 w/w ustawy, dla przedsięwzięć o charakterze działalności gospodarczej, czy przedsięwzięć związanych z uprawianiem rekreacji, turystyki itp.</w:t>
      </w:r>
    </w:p>
    <w:p w:rsidR="00B745B3" w:rsidRDefault="00B745B3" w:rsidP="00B745B3">
      <w:pPr>
        <w:pStyle w:val="numwielop"/>
        <w:numPr>
          <w:ilvl w:val="1"/>
          <w:numId w:val="9"/>
        </w:numPr>
        <w:tabs>
          <w:tab w:val="left" w:pos="142"/>
          <w:tab w:val="left" w:pos="284"/>
          <w:tab w:val="left" w:pos="426"/>
        </w:tabs>
        <w:spacing w:before="0"/>
        <w:ind w:left="0" w:firstLine="0"/>
        <w:rPr>
          <w:color w:val="auto"/>
        </w:rPr>
      </w:pPr>
      <w:r w:rsidRPr="00083498">
        <w:rPr>
          <w:color w:val="auto"/>
        </w:rPr>
        <w:t>Sposób naliczenia stawki czynszu za najem nieruchomości, o których mowa w</w:t>
      </w:r>
      <w:r>
        <w:rPr>
          <w:color w:val="auto"/>
        </w:rPr>
        <w:t> </w:t>
      </w:r>
      <w:r w:rsidRPr="00083498">
        <w:rPr>
          <w:color w:val="auto"/>
        </w:rPr>
        <w:t xml:space="preserve">Rozdziale I §3 pkt </w:t>
      </w:r>
      <w:r w:rsidRPr="00083498">
        <w:rPr>
          <w:color w:val="auto"/>
        </w:rPr>
        <w:fldChar w:fldCharType="begin"/>
      </w:r>
      <w:r w:rsidRPr="00083498">
        <w:rPr>
          <w:color w:val="auto"/>
        </w:rPr>
        <w:instrText xml:space="preserve"> REF _Ref532470773 \r \h  \* MERGEFORMAT </w:instrText>
      </w:r>
      <w:r w:rsidRPr="00083498">
        <w:rPr>
          <w:color w:val="auto"/>
        </w:rPr>
      </w:r>
      <w:r w:rsidRPr="00083498">
        <w:rPr>
          <w:color w:val="auto"/>
        </w:rPr>
        <w:fldChar w:fldCharType="separate"/>
      </w:r>
      <w:r>
        <w:rPr>
          <w:color w:val="auto"/>
        </w:rPr>
        <w:t>2.3</w:t>
      </w:r>
      <w:r w:rsidRPr="00083498">
        <w:rPr>
          <w:color w:val="auto"/>
        </w:rPr>
        <w:fldChar w:fldCharType="end"/>
      </w:r>
      <w:r w:rsidRPr="00083498">
        <w:rPr>
          <w:color w:val="auto"/>
        </w:rPr>
        <w:t xml:space="preserve"> określa dyrektor PGW WP RZGW uwzględniając ustalaną przez rady gmin (miast) właściwych ze względu na miejsce położenia nieruchomości, lub na podstawie wskaźnika przeliczeniowego kosztu odtworzenia 1</w:t>
      </w:r>
      <w:r>
        <w:rPr>
          <w:color w:val="auto"/>
        </w:rPr>
        <w:t> </w:t>
      </w:r>
      <w:r w:rsidRPr="00083498">
        <w:rPr>
          <w:color w:val="auto"/>
        </w:rPr>
        <w:t>m</w:t>
      </w:r>
      <w:r w:rsidRPr="00083498">
        <w:rPr>
          <w:color w:val="auto"/>
          <w:vertAlign w:val="superscript"/>
        </w:rPr>
        <w:t>2</w:t>
      </w:r>
      <w:r w:rsidRPr="00083498">
        <w:rPr>
          <w:color w:val="auto"/>
        </w:rPr>
        <w:t xml:space="preserve"> powierzchni użytkowej budynków mieszkalnych, zgodnie z obwieszczeniem wojewody.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1.3. </w:t>
      </w:r>
      <w:r w:rsidRPr="00083498">
        <w:rPr>
          <w:color w:val="auto"/>
        </w:rPr>
        <w:t xml:space="preserve">Jeżeli grunty rolne nie są sklasyfikowane bądź istnieją trudności w ich jednoznacznym sklasyfikowaniu, przyjmuje się klasę użytku gruntowego zgodnie z klasą przeważającą  dla gruntów do nich przylegających. 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  <w:r>
        <w:rPr>
          <w:color w:val="auto"/>
        </w:rPr>
        <w:t>1.4. W</w:t>
      </w:r>
      <w:r w:rsidRPr="00F70118">
        <w:rPr>
          <w:color w:val="auto"/>
        </w:rPr>
        <w:t xml:space="preserve"> przypadku</w:t>
      </w:r>
      <w:r>
        <w:rPr>
          <w:color w:val="auto"/>
        </w:rPr>
        <w:t>,</w:t>
      </w:r>
      <w:r w:rsidRPr="00F70118">
        <w:rPr>
          <w:color w:val="auto"/>
        </w:rPr>
        <w:t xml:space="preserve"> gdy rzeczywisty sposób korzystania jest inny</w:t>
      </w:r>
      <w:r>
        <w:rPr>
          <w:color w:val="auto"/>
        </w:rPr>
        <w:t>,</w:t>
      </w:r>
      <w:r w:rsidRPr="00F70118">
        <w:rPr>
          <w:color w:val="auto"/>
        </w:rPr>
        <w:t xml:space="preserve"> niż określony </w:t>
      </w:r>
      <w:r>
        <w:rPr>
          <w:color w:val="auto"/>
        </w:rPr>
        <w:t xml:space="preserve">użytek </w:t>
      </w:r>
      <w:r>
        <w:rPr>
          <w:color w:val="auto"/>
        </w:rPr>
        <w:br/>
      </w:r>
      <w:r w:rsidRPr="00F70118">
        <w:rPr>
          <w:color w:val="auto"/>
        </w:rPr>
        <w:t>w ewidencji gruntów i budynków</w:t>
      </w:r>
      <w:r>
        <w:rPr>
          <w:color w:val="auto"/>
        </w:rPr>
        <w:t>,</w:t>
      </w:r>
      <w:r w:rsidRPr="00F70118">
        <w:rPr>
          <w:color w:val="auto"/>
        </w:rPr>
        <w:t xml:space="preserve"> podstawę wyliczenia czynszu stanowi rzeczywisty sposób korzystania z nieruchomości. 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1.5. </w:t>
      </w:r>
      <w:r w:rsidRPr="00F70118">
        <w:rPr>
          <w:color w:val="auto"/>
        </w:rPr>
        <w:t>W przypadku, gdy korzystanie z gruntów ma charakter sezonowy, wysokość czynszu dzierżawnego ustal</w:t>
      </w:r>
      <w:r>
        <w:rPr>
          <w:color w:val="auto"/>
        </w:rPr>
        <w:t>a się</w:t>
      </w:r>
      <w:r w:rsidRPr="00F70118">
        <w:rPr>
          <w:color w:val="auto"/>
        </w:rPr>
        <w:t xml:space="preserve"> proporcjonalnie do okresu tego korzystania.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1.6. </w:t>
      </w:r>
      <w:r w:rsidRPr="00F70118">
        <w:rPr>
          <w:color w:val="auto"/>
        </w:rPr>
        <w:t xml:space="preserve">W przypadku krótkotrwałego, okazjonalnego korzystania z nieruchomości, w tym organizacji imprez widowiskowych, rozrywkowych, kulturalnych, sportowych, rekreacyjnych </w:t>
      </w:r>
      <w:r w:rsidRPr="00F70118">
        <w:rPr>
          <w:color w:val="auto"/>
        </w:rPr>
        <w:lastRenderedPageBreak/>
        <w:t xml:space="preserve">oraz wypoczynkowych, dyrektor PGW WP RZGW ustala indywidualnie każdorazowo stawkę opłaty z tego tytułu. 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1.7. </w:t>
      </w:r>
      <w:r w:rsidRPr="00F70118">
        <w:rPr>
          <w:color w:val="auto"/>
        </w:rPr>
        <w:t>Do przedstawionych stawek czynszów netto nalicza się podatek VAT, z wyjątkiem gruntów rolnych zwolnionych ustawowo.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1.8. </w:t>
      </w:r>
      <w:r w:rsidRPr="00F70118">
        <w:rPr>
          <w:color w:val="auto"/>
        </w:rPr>
        <w:t>Minimalna stawka opłaty z tytułu korzystania z nieruchomości wynosi 100 zł., niezależnie od kwoty wyliczonej zgodnie z niniejszymi procedurami oraz niezależnie od czasu korzystania w przypadku umów zawieranych na okresy krótsze niż rok.</w:t>
      </w:r>
    </w:p>
    <w:p w:rsidR="00B745B3" w:rsidRDefault="00B745B3" w:rsidP="00B745B3">
      <w:pPr>
        <w:pStyle w:val="numwielop"/>
        <w:numPr>
          <w:ilvl w:val="0"/>
          <w:numId w:val="0"/>
        </w:numPr>
        <w:rPr>
          <w:bCs/>
          <w:color w:val="auto"/>
        </w:rPr>
      </w:pPr>
      <w:r>
        <w:rPr>
          <w:color w:val="auto"/>
        </w:rPr>
        <w:t xml:space="preserve">1.9. </w:t>
      </w:r>
      <w:r w:rsidRPr="00F70118">
        <w:rPr>
          <w:bCs/>
          <w:color w:val="auto"/>
        </w:rPr>
        <w:t xml:space="preserve">Wysokość opłaty z tytułu korzystania z nieruchomości określona w zł, podlega corocznej waloryzacji o średnioroczny wskaźnik wzrostu cen towarów i usług konsumpcyjnych ogłaszany przez Prezesa GUS w Monitorze Polskim za  rok poprzedni, za wyjątkiem podlegających waloryzacji zgodnie z ustawą z dnia 15 listopada 1984 r. o podatku rolnym lub ustawą z dnia </w:t>
      </w:r>
      <w:r w:rsidRPr="00F70118">
        <w:rPr>
          <w:color w:val="auto"/>
        </w:rPr>
        <w:t>12 stycznia 1991 r. o podatkach i opłatach lokalnych</w:t>
      </w:r>
      <w:r w:rsidRPr="00F70118">
        <w:rPr>
          <w:bCs/>
          <w:color w:val="auto"/>
        </w:rPr>
        <w:t xml:space="preserve">. Waloryzacji nie dokonuje się, gdy aktualny wyżej wymieniony wskaźnik jest mniejszy niż 100. </w:t>
      </w:r>
    </w:p>
    <w:p w:rsidR="00B745B3" w:rsidRPr="0018694B" w:rsidRDefault="00B745B3" w:rsidP="00B745B3">
      <w:pPr>
        <w:pStyle w:val="numwielop"/>
        <w:numPr>
          <w:ilvl w:val="0"/>
          <w:numId w:val="0"/>
        </w:numPr>
        <w:rPr>
          <w:color w:val="auto"/>
        </w:rPr>
      </w:pPr>
    </w:p>
    <w:p w:rsidR="00B745B3" w:rsidRPr="00D6756E" w:rsidRDefault="00B745B3" w:rsidP="00B745B3">
      <w:pPr>
        <w:pStyle w:val="numwielop"/>
        <w:numPr>
          <w:ilvl w:val="0"/>
          <w:numId w:val="8"/>
        </w:numPr>
        <w:rPr>
          <w:color w:val="002060"/>
        </w:rPr>
      </w:pPr>
      <w:r w:rsidRPr="00D6756E">
        <w:rPr>
          <w:color w:val="002060"/>
        </w:rPr>
        <w:t>Wysokość opłat dla umów dzierżawy, najmu  – tryb bezprzetargowy.</w:t>
      </w:r>
    </w:p>
    <w:p w:rsidR="00B745B3" w:rsidRPr="00F70118" w:rsidRDefault="00B745B3" w:rsidP="00B745B3">
      <w:pPr>
        <w:pStyle w:val="Akapitzlist"/>
        <w:numPr>
          <w:ilvl w:val="1"/>
          <w:numId w:val="4"/>
        </w:numPr>
        <w:spacing w:line="340" w:lineRule="exact"/>
        <w:jc w:val="both"/>
        <w:rPr>
          <w:rFonts w:asciiTheme="minorHAnsi" w:hAnsiTheme="minorHAnsi" w:cstheme="minorHAnsi"/>
        </w:rPr>
      </w:pPr>
      <w:r w:rsidRPr="00F70118">
        <w:rPr>
          <w:rFonts w:asciiTheme="minorHAnsi" w:hAnsiTheme="minorHAnsi" w:cstheme="minorHAnsi"/>
        </w:rPr>
        <w:t xml:space="preserve">Roczny czynsz w  umowach, zawieranych w trybie bezprzetargowym, </w:t>
      </w:r>
      <w:bookmarkEnd w:id="0"/>
      <w:r w:rsidRPr="00F70118">
        <w:rPr>
          <w:rFonts w:asciiTheme="minorHAnsi" w:hAnsiTheme="minorHAnsi" w:cstheme="minorHAnsi"/>
        </w:rPr>
        <w:t xml:space="preserve">w zależności od przeznaczenia gruntów rolnych wyraża się dla: 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rPr>
          <w:color w:val="auto"/>
        </w:rPr>
      </w:pPr>
      <w:r w:rsidRPr="00F70118">
        <w:rPr>
          <w:color w:val="auto"/>
        </w:rPr>
        <w:t>gruntów ornych (R), nie mniejszy niż kwota wymieniona w tabeli 2.1</w:t>
      </w:r>
      <w:r>
        <w:rPr>
          <w:color w:val="auto"/>
        </w:rPr>
        <w:t>.1.</w:t>
      </w:r>
      <w:r w:rsidRPr="00F70118">
        <w:rPr>
          <w:color w:val="auto"/>
        </w:rPr>
        <w:t>:</w:t>
      </w:r>
    </w:p>
    <w:p w:rsidR="00B745B3" w:rsidRPr="00F70118" w:rsidRDefault="00B745B3" w:rsidP="00B745B3">
      <w:pPr>
        <w:rPr>
          <w:rFonts w:asciiTheme="minorHAnsi" w:hAnsiTheme="minorHAnsi" w:cstheme="minorHAnsi"/>
        </w:rPr>
      </w:pPr>
    </w:p>
    <w:p w:rsidR="00B745B3" w:rsidRPr="00F70118" w:rsidRDefault="00B745B3" w:rsidP="00B745B3">
      <w:pPr>
        <w:ind w:firstLine="708"/>
        <w:rPr>
          <w:rFonts w:asciiTheme="minorHAnsi" w:hAnsiTheme="minorHAnsi" w:cstheme="minorHAnsi"/>
        </w:rPr>
      </w:pPr>
      <w:r w:rsidRPr="00F70118">
        <w:rPr>
          <w:rFonts w:asciiTheme="minorHAnsi" w:hAnsiTheme="minorHAnsi" w:cstheme="minorHAnsi"/>
        </w:rPr>
        <w:t>Tabela 2.1</w:t>
      </w:r>
      <w:r>
        <w:rPr>
          <w:rFonts w:asciiTheme="minorHAnsi" w:hAnsiTheme="minorHAnsi" w:cstheme="minorHAnsi"/>
        </w:rPr>
        <w:t xml:space="preserve">.1. </w:t>
      </w:r>
      <w:r w:rsidRPr="00F70118">
        <w:rPr>
          <w:rFonts w:asciiTheme="minorHAnsi" w:hAnsiTheme="minorHAnsi" w:cstheme="minorHAnsi"/>
        </w:rPr>
        <w:t>Stawki czynszu dzierżawnego od gruntów ornych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099"/>
        <w:gridCol w:w="1099"/>
        <w:gridCol w:w="1099"/>
        <w:gridCol w:w="1098"/>
        <w:gridCol w:w="1099"/>
        <w:gridCol w:w="1099"/>
        <w:gridCol w:w="1100"/>
      </w:tblGrid>
      <w:tr w:rsidR="00B745B3" w:rsidRPr="00F70118" w:rsidTr="00900F61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both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Okręg podatkowy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both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Czynsz wyrażony w zł dla 1 ha klasy: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0118">
              <w:rPr>
                <w:rFonts w:asciiTheme="minorHAnsi" w:hAnsiTheme="minorHAnsi" w:cstheme="minorHAnsi"/>
              </w:rPr>
              <w:t>IIIa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0118">
              <w:rPr>
                <w:rFonts w:asciiTheme="minorHAnsi" w:hAnsiTheme="minorHAnsi" w:cstheme="minorHAnsi"/>
              </w:rPr>
              <w:t>IIIb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0118">
              <w:rPr>
                <w:rFonts w:asciiTheme="minorHAnsi" w:hAnsiTheme="minorHAnsi" w:cstheme="minorHAnsi"/>
              </w:rPr>
              <w:t>IVa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0118">
              <w:rPr>
                <w:rFonts w:asciiTheme="minorHAnsi" w:hAnsiTheme="minorHAnsi" w:cstheme="minorHAnsi"/>
              </w:rPr>
              <w:t>IVb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V/VI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570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526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394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526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438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438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409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336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F70118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395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292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B745B3" w:rsidRPr="00B17714" w:rsidRDefault="00B745B3" w:rsidP="00B745B3">
      <w:pPr>
        <w:pStyle w:val="numwielop"/>
        <w:numPr>
          <w:ilvl w:val="2"/>
          <w:numId w:val="4"/>
        </w:numPr>
        <w:rPr>
          <w:color w:val="auto"/>
        </w:rPr>
      </w:pPr>
      <w:r w:rsidRPr="00F70118">
        <w:rPr>
          <w:color w:val="auto"/>
        </w:rPr>
        <w:t>łąk trwałych (Ł) i pastwisk trwałych (</w:t>
      </w:r>
      <w:proofErr w:type="spellStart"/>
      <w:r w:rsidRPr="00F70118">
        <w:rPr>
          <w:color w:val="auto"/>
        </w:rPr>
        <w:t>Ps</w:t>
      </w:r>
      <w:proofErr w:type="spellEnd"/>
      <w:r w:rsidRPr="00F70118">
        <w:rPr>
          <w:color w:val="auto"/>
        </w:rPr>
        <w:t>), nie mniejszy niż kwota wymieniona w tabeli</w:t>
      </w:r>
      <w:r>
        <w:rPr>
          <w:color w:val="auto"/>
        </w:rPr>
        <w:t xml:space="preserve"> </w:t>
      </w:r>
      <w:r w:rsidRPr="00F70118">
        <w:rPr>
          <w:color w:val="auto"/>
        </w:rPr>
        <w:t>2.</w:t>
      </w:r>
      <w:r>
        <w:rPr>
          <w:color w:val="auto"/>
        </w:rPr>
        <w:t>1.</w:t>
      </w:r>
      <w:r w:rsidRPr="00F70118">
        <w:rPr>
          <w:color w:val="auto"/>
        </w:rPr>
        <w:t>2:</w:t>
      </w:r>
    </w:p>
    <w:p w:rsidR="00B745B3" w:rsidRPr="00F70118" w:rsidRDefault="00B745B3" w:rsidP="00B745B3">
      <w:pPr>
        <w:ind w:firstLine="708"/>
        <w:jc w:val="both"/>
        <w:rPr>
          <w:rFonts w:asciiTheme="minorHAnsi" w:hAnsiTheme="minorHAnsi" w:cstheme="minorHAnsi"/>
        </w:rPr>
      </w:pPr>
      <w:r w:rsidRPr="00F70118">
        <w:rPr>
          <w:rFonts w:asciiTheme="minorHAnsi" w:hAnsiTheme="minorHAnsi" w:cstheme="minorHAnsi"/>
        </w:rPr>
        <w:t>Tabela 2.</w:t>
      </w:r>
      <w:r>
        <w:rPr>
          <w:rFonts w:asciiTheme="minorHAnsi" w:hAnsiTheme="minorHAnsi" w:cstheme="minorHAnsi"/>
        </w:rPr>
        <w:t>1.</w:t>
      </w:r>
      <w:r w:rsidRPr="00F7011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Pr="00F70118">
        <w:rPr>
          <w:rFonts w:asciiTheme="minorHAnsi" w:hAnsiTheme="minorHAnsi" w:cstheme="minorHAnsi"/>
        </w:rPr>
        <w:t>Stawki czynszu dzierżawnego od łąk i pastwisk trwałych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538"/>
        <w:gridCol w:w="1539"/>
        <w:gridCol w:w="1539"/>
        <w:gridCol w:w="1539"/>
        <w:gridCol w:w="1539"/>
      </w:tblGrid>
      <w:tr w:rsidR="00B745B3" w:rsidRPr="00F70118" w:rsidTr="00900F61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both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Okręg podatkowy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both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Czynsz wyrażony w zł dla 1 ha klasy: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V/VI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468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395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336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306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B745B3" w:rsidRPr="00F70118" w:rsidTr="00900F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B3" w:rsidRPr="00F70118" w:rsidRDefault="00B745B3" w:rsidP="00900F61">
            <w:pPr>
              <w:spacing w:line="340" w:lineRule="exact"/>
              <w:jc w:val="center"/>
              <w:rPr>
                <w:rFonts w:asciiTheme="minorHAnsi" w:hAnsiTheme="minorHAnsi" w:cstheme="minorHAnsi"/>
              </w:rPr>
            </w:pPr>
            <w:r w:rsidRPr="00F70118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395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322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118">
              <w:rPr>
                <w:rFonts w:asciiTheme="minorHAnsi" w:hAnsiTheme="minorHAnsi" w:cstheme="minorHAnsi"/>
                <w:color w:val="000000"/>
              </w:rPr>
              <w:t>278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B3" w:rsidRPr="00F70118" w:rsidRDefault="00B745B3" w:rsidP="00900F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F70118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B745B3" w:rsidRPr="00F70118" w:rsidRDefault="00B745B3" w:rsidP="00B745B3">
      <w:pPr>
        <w:pStyle w:val="numwielop"/>
        <w:numPr>
          <w:ilvl w:val="2"/>
          <w:numId w:val="4"/>
        </w:numPr>
        <w:tabs>
          <w:tab w:val="clear" w:pos="720"/>
        </w:tabs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>od sadów (S),– równowartość zł określonej w tabelach 2.1.</w:t>
      </w:r>
      <w:r>
        <w:rPr>
          <w:color w:val="auto"/>
        </w:rPr>
        <w:t xml:space="preserve">1. </w:t>
      </w:r>
      <w:r w:rsidRPr="00F70118">
        <w:rPr>
          <w:color w:val="auto"/>
        </w:rPr>
        <w:t>lub 2.</w:t>
      </w:r>
      <w:r>
        <w:rPr>
          <w:color w:val="auto"/>
        </w:rPr>
        <w:t>1.</w:t>
      </w:r>
      <w:r w:rsidRPr="00F70118">
        <w:rPr>
          <w:color w:val="auto"/>
        </w:rPr>
        <w:t xml:space="preserve">2. z zastosowaniem współczynnika </w:t>
      </w:r>
      <w:r w:rsidRPr="00F70118">
        <w:rPr>
          <w:b/>
          <w:color w:val="auto"/>
        </w:rPr>
        <w:t>5,0</w:t>
      </w:r>
      <w:r w:rsidRPr="00F70118">
        <w:rPr>
          <w:color w:val="auto"/>
        </w:rPr>
        <w:t>;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>od gruntów pod stawami rybnymi (</w:t>
      </w:r>
      <w:proofErr w:type="spellStart"/>
      <w:r w:rsidRPr="00F70118">
        <w:rPr>
          <w:color w:val="auto"/>
        </w:rPr>
        <w:t>Wsr</w:t>
      </w:r>
      <w:proofErr w:type="spellEnd"/>
      <w:r w:rsidRPr="00F70118">
        <w:rPr>
          <w:color w:val="auto"/>
        </w:rPr>
        <w:t xml:space="preserve">) </w:t>
      </w:r>
      <w:r>
        <w:rPr>
          <w:color w:val="auto"/>
        </w:rPr>
        <w:t xml:space="preserve">stanowi </w:t>
      </w:r>
      <w:r w:rsidRPr="00F70118">
        <w:rPr>
          <w:color w:val="auto"/>
        </w:rPr>
        <w:t>– równowartość zł określonej w</w:t>
      </w:r>
      <w:r>
        <w:rPr>
          <w:color w:val="auto"/>
        </w:rPr>
        <w:t> </w:t>
      </w:r>
      <w:r w:rsidRPr="00F70118">
        <w:rPr>
          <w:color w:val="auto"/>
        </w:rPr>
        <w:t>tabelach 2.1.</w:t>
      </w:r>
      <w:r>
        <w:rPr>
          <w:color w:val="auto"/>
        </w:rPr>
        <w:t>1.</w:t>
      </w:r>
      <w:r w:rsidRPr="00F70118">
        <w:rPr>
          <w:color w:val="auto"/>
        </w:rPr>
        <w:t xml:space="preserve"> lub 2.</w:t>
      </w:r>
      <w:r>
        <w:rPr>
          <w:color w:val="auto"/>
        </w:rPr>
        <w:t>1.</w:t>
      </w:r>
      <w:r w:rsidRPr="00F70118">
        <w:rPr>
          <w:color w:val="auto"/>
        </w:rPr>
        <w:t xml:space="preserve">2. z zastosowaniem współczynnika </w:t>
      </w:r>
      <w:r w:rsidRPr="00F70118">
        <w:rPr>
          <w:b/>
          <w:color w:val="auto"/>
        </w:rPr>
        <w:t>10,0</w:t>
      </w:r>
      <w:r>
        <w:rPr>
          <w:color w:val="auto"/>
        </w:rPr>
        <w:t>;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tabs>
          <w:tab w:val="clear" w:pos="720"/>
          <w:tab w:val="num" w:pos="0"/>
        </w:tabs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>od gruntów pod rowami (W)</w:t>
      </w:r>
      <w:r>
        <w:rPr>
          <w:color w:val="auto"/>
        </w:rPr>
        <w:t xml:space="preserve"> stanowi</w:t>
      </w:r>
      <w:r w:rsidRPr="00F70118">
        <w:rPr>
          <w:color w:val="auto"/>
        </w:rPr>
        <w:t xml:space="preserve"> – równowartość 6 zł </w:t>
      </w:r>
      <w:r>
        <w:rPr>
          <w:color w:val="auto"/>
        </w:rPr>
        <w:t>za</w:t>
      </w:r>
      <w:r w:rsidRPr="00F70118">
        <w:rPr>
          <w:color w:val="auto"/>
        </w:rPr>
        <w:t xml:space="preserve"> 100 </w:t>
      </w:r>
      <w:proofErr w:type="spellStart"/>
      <w:r w:rsidRPr="00F70118">
        <w:rPr>
          <w:color w:val="auto"/>
        </w:rPr>
        <w:t>mb</w:t>
      </w:r>
      <w:proofErr w:type="spellEnd"/>
      <w:r w:rsidRPr="00F70118">
        <w:rPr>
          <w:color w:val="auto"/>
        </w:rPr>
        <w:t xml:space="preserve"> rowu;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tabs>
          <w:tab w:val="clear" w:pos="720"/>
          <w:tab w:val="num" w:pos="0"/>
        </w:tabs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lastRenderedPageBreak/>
        <w:t>od gruntów rolnych zabudowanych (B)</w:t>
      </w:r>
      <w:r>
        <w:rPr>
          <w:color w:val="auto"/>
        </w:rPr>
        <w:t xml:space="preserve"> stanowi </w:t>
      </w:r>
      <w:r w:rsidRPr="00F70118">
        <w:rPr>
          <w:color w:val="auto"/>
        </w:rPr>
        <w:t>– równowartość 5</w:t>
      </w:r>
      <w:r>
        <w:rPr>
          <w:color w:val="auto"/>
        </w:rPr>
        <w:t>7</w:t>
      </w:r>
      <w:r w:rsidRPr="00F70118">
        <w:rPr>
          <w:color w:val="auto"/>
        </w:rPr>
        <w:t xml:space="preserve">0 zł </w:t>
      </w:r>
      <w:r>
        <w:rPr>
          <w:color w:val="auto"/>
        </w:rPr>
        <w:t>za</w:t>
      </w:r>
      <w:r w:rsidRPr="00F70118">
        <w:rPr>
          <w:color w:val="auto"/>
        </w:rPr>
        <w:t xml:space="preserve"> 1 ha. </w:t>
      </w:r>
    </w:p>
    <w:p w:rsidR="00B745B3" w:rsidRPr="00D6756E" w:rsidRDefault="00B745B3" w:rsidP="00B745B3">
      <w:pPr>
        <w:pStyle w:val="numwielop"/>
        <w:numPr>
          <w:ilvl w:val="2"/>
          <w:numId w:val="4"/>
        </w:numPr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 xml:space="preserve">nieużytków i terenów różnych  (N, </w:t>
      </w:r>
      <w:proofErr w:type="spellStart"/>
      <w:r w:rsidRPr="00F70118">
        <w:rPr>
          <w:color w:val="auto"/>
        </w:rPr>
        <w:t>Tr</w:t>
      </w:r>
      <w:proofErr w:type="spellEnd"/>
      <w:r w:rsidRPr="00F70118">
        <w:rPr>
          <w:color w:val="auto"/>
        </w:rPr>
        <w:t xml:space="preserve">) z przeznaczeniem na cele rolne, wypas bydła, pozyskanie siana, stanowi </w:t>
      </w:r>
      <w:r>
        <w:rPr>
          <w:color w:val="auto"/>
        </w:rPr>
        <w:t xml:space="preserve"> - </w:t>
      </w:r>
      <w:r w:rsidRPr="00F70118">
        <w:rPr>
          <w:color w:val="auto"/>
        </w:rPr>
        <w:t>równowartość kwoty  zł określonej w tabeli 2.</w:t>
      </w:r>
      <w:r>
        <w:rPr>
          <w:color w:val="auto"/>
        </w:rPr>
        <w:t xml:space="preserve">1. </w:t>
      </w:r>
      <w:r w:rsidRPr="00F70118">
        <w:rPr>
          <w:color w:val="auto"/>
        </w:rPr>
        <w:t>2. dla klasy V/VI</w:t>
      </w:r>
      <w:r>
        <w:rPr>
          <w:color w:val="auto"/>
        </w:rPr>
        <w:t xml:space="preserve">. </w:t>
      </w:r>
    </w:p>
    <w:p w:rsidR="00B745B3" w:rsidRPr="003D58BD" w:rsidRDefault="00B745B3" w:rsidP="00B745B3">
      <w:pPr>
        <w:pStyle w:val="numwielop"/>
        <w:numPr>
          <w:ilvl w:val="1"/>
          <w:numId w:val="4"/>
        </w:numPr>
        <w:spacing w:before="0" w:line="320" w:lineRule="exact"/>
        <w:rPr>
          <w:color w:val="auto"/>
        </w:rPr>
      </w:pPr>
      <w:r w:rsidRPr="003D58BD">
        <w:rPr>
          <w:color w:val="auto"/>
        </w:rPr>
        <w:t>Roczny czynsz w  umowach zawieranych w trybie bezprzetargowym, w zależności od przeznaczenia gruntów</w:t>
      </w:r>
      <w:r>
        <w:rPr>
          <w:color w:val="auto"/>
        </w:rPr>
        <w:t xml:space="preserve"> dla: </w:t>
      </w:r>
      <w:r w:rsidRPr="003D58BD">
        <w:rPr>
          <w:color w:val="auto"/>
        </w:rPr>
        <w:t xml:space="preserve"> 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tabs>
          <w:tab w:val="clear" w:pos="720"/>
        </w:tabs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>terenów rekreacyjno-wypoczynkowych (</w:t>
      </w:r>
      <w:proofErr w:type="spellStart"/>
      <w:r w:rsidRPr="00F70118">
        <w:rPr>
          <w:color w:val="auto"/>
        </w:rPr>
        <w:t>Bz</w:t>
      </w:r>
      <w:proofErr w:type="spellEnd"/>
      <w:r w:rsidRPr="00F70118">
        <w:rPr>
          <w:color w:val="auto"/>
        </w:rPr>
        <w:t xml:space="preserve">) stanowi </w:t>
      </w:r>
      <w:r>
        <w:rPr>
          <w:color w:val="auto"/>
        </w:rPr>
        <w:t xml:space="preserve">- </w:t>
      </w:r>
      <w:r w:rsidRPr="00F70118">
        <w:rPr>
          <w:color w:val="auto"/>
        </w:rPr>
        <w:t xml:space="preserve">równowartość pieniężna </w:t>
      </w:r>
      <w:r>
        <w:rPr>
          <w:color w:val="auto"/>
        </w:rPr>
        <w:br/>
      </w:r>
      <w:r w:rsidRPr="00F70118">
        <w:rPr>
          <w:color w:val="auto"/>
        </w:rPr>
        <w:t>2-krotności górnej stawki podatku od nieruchomości za 1 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>;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tabs>
          <w:tab w:val="clear" w:pos="720"/>
        </w:tabs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>terenów komunikacyjnych (dr, Ti)</w:t>
      </w:r>
      <w:r>
        <w:rPr>
          <w:color w:val="auto"/>
        </w:rPr>
        <w:t xml:space="preserve">  </w:t>
      </w:r>
      <w:r w:rsidRPr="00F70118">
        <w:rPr>
          <w:color w:val="auto"/>
        </w:rPr>
        <w:t xml:space="preserve">stanowi </w:t>
      </w:r>
      <w:r>
        <w:rPr>
          <w:color w:val="auto"/>
        </w:rPr>
        <w:t xml:space="preserve">- </w:t>
      </w:r>
      <w:r w:rsidRPr="00F70118">
        <w:rPr>
          <w:color w:val="auto"/>
        </w:rPr>
        <w:t>równowartość pieniężna 2-krotności górnej stawki podatku od nieruchomości za 1 m2;.</w:t>
      </w:r>
    </w:p>
    <w:p w:rsidR="00B745B3" w:rsidRPr="00F70118" w:rsidRDefault="00B745B3" w:rsidP="00B745B3">
      <w:pPr>
        <w:pStyle w:val="numwielop"/>
        <w:numPr>
          <w:ilvl w:val="2"/>
          <w:numId w:val="4"/>
        </w:numPr>
        <w:tabs>
          <w:tab w:val="clear" w:pos="720"/>
          <w:tab w:val="num" w:pos="0"/>
        </w:tabs>
        <w:spacing w:before="0" w:line="320" w:lineRule="exact"/>
        <w:ind w:left="567" w:hanging="567"/>
        <w:rPr>
          <w:color w:val="auto"/>
        </w:rPr>
      </w:pPr>
      <w:r w:rsidRPr="00F70118">
        <w:rPr>
          <w:color w:val="auto"/>
        </w:rPr>
        <w:t>ścieżek pieszych i rowerowych, w tym na wałach przeciwpowodziowych, wraz z</w:t>
      </w:r>
      <w:r>
        <w:rPr>
          <w:color w:val="auto"/>
        </w:rPr>
        <w:t> </w:t>
      </w:r>
      <w:r w:rsidRPr="00F70118">
        <w:rPr>
          <w:color w:val="auto"/>
        </w:rPr>
        <w:t xml:space="preserve">infrastrukturą towarzyszącą, stanowi </w:t>
      </w:r>
      <w:r>
        <w:rPr>
          <w:color w:val="auto"/>
        </w:rPr>
        <w:t xml:space="preserve">- </w:t>
      </w:r>
      <w:r w:rsidRPr="00F70118">
        <w:rPr>
          <w:color w:val="auto"/>
        </w:rPr>
        <w:t>równowartość pieniężn</w:t>
      </w:r>
      <w:r>
        <w:rPr>
          <w:color w:val="auto"/>
        </w:rPr>
        <w:t>ą</w:t>
      </w:r>
      <w:r w:rsidRPr="00F70118">
        <w:rPr>
          <w:color w:val="auto"/>
        </w:rPr>
        <w:t xml:space="preserve"> 0,05 górnej stawki podatku od nieruchomości za 1 m2. </w:t>
      </w:r>
    </w:p>
    <w:p w:rsidR="00B745B3" w:rsidRPr="00F70118" w:rsidRDefault="00B745B3" w:rsidP="00B745B3">
      <w:pPr>
        <w:pStyle w:val="numwielop"/>
        <w:numPr>
          <w:ilvl w:val="0"/>
          <w:numId w:val="4"/>
        </w:numPr>
        <w:spacing w:before="0" w:line="320" w:lineRule="exact"/>
        <w:ind w:left="567" w:hanging="567"/>
      </w:pPr>
      <w:r w:rsidRPr="00DB657E">
        <w:rPr>
          <w:color w:val="auto"/>
        </w:rPr>
        <w:t>Podstawę wyliczenia rocznego czynszu dzierżawy gruntów położonych w sąsiedztwie gruntów pokrytych wodami albo położonych na obszarach sztucznych zbiorników wodnych, kanałów a także gruntów pod wodami powierzchniowymi stojącymi (</w:t>
      </w:r>
      <w:proofErr w:type="spellStart"/>
      <w:r w:rsidRPr="00DB657E">
        <w:rPr>
          <w:color w:val="auto"/>
        </w:rPr>
        <w:t>Ws</w:t>
      </w:r>
      <w:proofErr w:type="spellEnd"/>
      <w:r w:rsidRPr="00DB657E">
        <w:rPr>
          <w:color w:val="auto"/>
        </w:rPr>
        <w:t>) dla przedsięwzięć:</w:t>
      </w:r>
      <w:bookmarkStart w:id="1" w:name="_Ref245803603"/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 w:line="320" w:lineRule="exact"/>
      </w:pPr>
      <w:r w:rsidRPr="00F70118">
        <w:rPr>
          <w:color w:val="auto"/>
        </w:rPr>
        <w:t xml:space="preserve">pod obiektami związanymi z energetyką wodną przeznaczonymi na: </w:t>
      </w:r>
      <w:bookmarkEnd w:id="1"/>
    </w:p>
    <w:p w:rsidR="00B745B3" w:rsidRPr="00F70118" w:rsidRDefault="00B745B3" w:rsidP="00B745B3">
      <w:pPr>
        <w:pStyle w:val="numlitery"/>
        <w:numPr>
          <w:ilvl w:val="0"/>
          <w:numId w:val="6"/>
        </w:numPr>
        <w:spacing w:line="320" w:lineRule="exact"/>
        <w:ind w:left="567" w:hanging="567"/>
      </w:pPr>
      <w:r w:rsidRPr="00F70118">
        <w:t xml:space="preserve">obiekty budowlane elektrowni wodnej – stanowi 15 zł </w:t>
      </w:r>
      <w:r>
        <w:t>za</w:t>
      </w:r>
      <w:r w:rsidRPr="00F70118">
        <w:t xml:space="preserve"> 1 m</w:t>
      </w:r>
      <w:r w:rsidRPr="00F70118">
        <w:rPr>
          <w:vertAlign w:val="superscript"/>
        </w:rPr>
        <w:t>2</w:t>
      </w:r>
      <w:r w:rsidRPr="00F70118">
        <w:t xml:space="preserve"> zajętego gruntu,</w:t>
      </w:r>
      <w:bookmarkStart w:id="2" w:name="_Ref245803426"/>
    </w:p>
    <w:p w:rsidR="00B745B3" w:rsidRPr="00F70118" w:rsidRDefault="00B745B3" w:rsidP="00B745B3">
      <w:pPr>
        <w:pStyle w:val="numlitery"/>
        <w:spacing w:line="320" w:lineRule="exact"/>
        <w:ind w:left="567" w:hanging="567"/>
      </w:pPr>
      <w:r w:rsidRPr="00F70118">
        <w:t>budowle piętrzące i upustowe, przepławki dla ryb oraz pozostałe obiekty i</w:t>
      </w:r>
      <w:r>
        <w:t> </w:t>
      </w:r>
      <w:r w:rsidRPr="00F70118">
        <w:t xml:space="preserve">urządzenia budowlane, w tym kanały derywacyjne – stanowi 4 zł </w:t>
      </w:r>
      <w:r>
        <w:t>za</w:t>
      </w:r>
      <w:r w:rsidRPr="00F70118">
        <w:t xml:space="preserve"> 1m</w:t>
      </w:r>
      <w:r w:rsidRPr="00F70118">
        <w:rPr>
          <w:vertAlign w:val="superscript"/>
        </w:rPr>
        <w:t>2</w:t>
      </w:r>
      <w:r w:rsidRPr="00F70118">
        <w:t xml:space="preserve"> zajętego gruntu;</w:t>
      </w:r>
      <w:bookmarkStart w:id="3" w:name="_Ref245803737"/>
      <w:bookmarkEnd w:id="2"/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>pod obiektami związanymi z transportem wodnym śródlądowym przeznaczonymi na:</w:t>
      </w:r>
      <w:bookmarkEnd w:id="3"/>
    </w:p>
    <w:p w:rsidR="00B745B3" w:rsidRPr="00F70118" w:rsidRDefault="00B745B3" w:rsidP="00B745B3">
      <w:pPr>
        <w:pStyle w:val="numlitery"/>
        <w:numPr>
          <w:ilvl w:val="0"/>
          <w:numId w:val="7"/>
        </w:numPr>
        <w:ind w:left="567" w:hanging="567"/>
      </w:pPr>
      <w:bookmarkStart w:id="4" w:name="_Ref245803760"/>
      <w:r w:rsidRPr="00F70118">
        <w:t>budowle piętrzące, śluzy, pochylnie, nabrzeża, pomosty, kładki, wyciągi dla statków, stałe urządzenia służące do przewozów międzybrzegowych oraz pozostałe obiekty i urządzenia budowlane</w:t>
      </w:r>
      <w:bookmarkEnd w:id="4"/>
      <w:r w:rsidRPr="00F70118">
        <w:t xml:space="preserve"> – stanowi 3 zł </w:t>
      </w:r>
      <w:r>
        <w:t xml:space="preserve">za </w:t>
      </w:r>
      <w:r w:rsidRPr="00F70118">
        <w:t>1 m</w:t>
      </w:r>
      <w:r w:rsidRPr="00F70118">
        <w:rPr>
          <w:vertAlign w:val="superscript"/>
        </w:rPr>
        <w:t>2</w:t>
      </w:r>
      <w:r w:rsidRPr="00F70118">
        <w:t xml:space="preserve"> zajętego gruntu;</w:t>
      </w:r>
    </w:p>
    <w:p w:rsidR="00B745B3" w:rsidRPr="00F70118" w:rsidRDefault="00B745B3" w:rsidP="00B745B3">
      <w:pPr>
        <w:pStyle w:val="numlitery"/>
        <w:ind w:left="567" w:hanging="567"/>
      </w:pPr>
      <w:r w:rsidRPr="00F70118">
        <w:t>porty, przystanie, zimowiska, awanporty i miejsca postojowe dla statków, akweny związane z obiektami i urządzeniami – stanowi 2 zł za 1 m</w:t>
      </w:r>
      <w:r w:rsidRPr="00F70118">
        <w:rPr>
          <w:vertAlign w:val="superscript"/>
        </w:rPr>
        <w:t>2</w:t>
      </w:r>
      <w:r w:rsidRPr="00F70118">
        <w:t xml:space="preserve"> zajętego gruntu;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 xml:space="preserve">związanych z wycinaniem roślin z wody lub brzegów sztucznego zbiornika wodnego – stanowi 1  zł </w:t>
      </w:r>
      <w:r>
        <w:rPr>
          <w:color w:val="auto"/>
        </w:rPr>
        <w:t>za</w:t>
      </w:r>
      <w:r w:rsidRPr="00F70118">
        <w:rPr>
          <w:color w:val="auto"/>
        </w:rPr>
        <w:t xml:space="preserve"> 1 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 xml:space="preserve"> zajętego gruntu;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 xml:space="preserve">pod obiektami związanymi z infrastrukturą transportu drogowego i kolejowego przeznaczonych pod filary i przyczółki mostów oraz pozostałe obiekty i urządzenia budowlane – stanowi 6 zł </w:t>
      </w:r>
      <w:r>
        <w:rPr>
          <w:color w:val="auto"/>
        </w:rPr>
        <w:t>za</w:t>
      </w:r>
      <w:r w:rsidRPr="00F70118">
        <w:rPr>
          <w:color w:val="auto"/>
        </w:rPr>
        <w:t xml:space="preserve"> 1 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 xml:space="preserve"> zajętego gruntu;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>związanych z obiektami pod infrastrukturą przemysłową przeznaczonymi pod:</w:t>
      </w:r>
    </w:p>
    <w:p w:rsidR="00B745B3" w:rsidRPr="00F70118" w:rsidRDefault="00B745B3" w:rsidP="00B745B3">
      <w:pPr>
        <w:pStyle w:val="numlitery"/>
        <w:numPr>
          <w:ilvl w:val="1"/>
          <w:numId w:val="1"/>
        </w:numPr>
        <w:tabs>
          <w:tab w:val="clear" w:pos="397"/>
          <w:tab w:val="left" w:pos="851"/>
          <w:tab w:val="num" w:pos="1134"/>
        </w:tabs>
        <w:ind w:left="567" w:hanging="567"/>
      </w:pPr>
      <w:r w:rsidRPr="00F70118">
        <w:t xml:space="preserve">ujęcia wody, pompownie, urządzenia służące do odprowadzania wód lub ścieków, rurociągi, inne obiekty infrastruktury przesyłowej oraz fundamenty innych urządzeń budowlanych prowadzonych przez wody – stanowi 15 zł </w:t>
      </w:r>
      <w:r>
        <w:t>za</w:t>
      </w:r>
      <w:r w:rsidRPr="00F70118">
        <w:t xml:space="preserve"> 1 m</w:t>
      </w:r>
      <w:r w:rsidRPr="00F70118">
        <w:rPr>
          <w:vertAlign w:val="superscript"/>
        </w:rPr>
        <w:t xml:space="preserve">2 </w:t>
      </w:r>
      <w:r w:rsidRPr="00F70118">
        <w:t xml:space="preserve">zajętego gruntu, </w:t>
      </w:r>
    </w:p>
    <w:p w:rsidR="00B745B3" w:rsidRPr="00F70118" w:rsidRDefault="00B745B3" w:rsidP="00B745B3">
      <w:pPr>
        <w:pStyle w:val="numlitery"/>
        <w:numPr>
          <w:ilvl w:val="1"/>
          <w:numId w:val="1"/>
        </w:numPr>
        <w:tabs>
          <w:tab w:val="clear" w:pos="397"/>
          <w:tab w:val="left" w:pos="851"/>
          <w:tab w:val="num" w:pos="1134"/>
        </w:tabs>
        <w:ind w:left="567" w:hanging="567"/>
      </w:pPr>
      <w:r w:rsidRPr="00F70118">
        <w:t>budowle piętrzące</w:t>
      </w:r>
      <w:r>
        <w:t xml:space="preserve">, </w:t>
      </w:r>
      <w:r w:rsidRPr="00F70118">
        <w:t>upustowe</w:t>
      </w:r>
      <w:r>
        <w:t xml:space="preserve">, przepławki dla ryb </w:t>
      </w:r>
      <w:r w:rsidRPr="00F70118">
        <w:t>oraz pozostałe obiekty</w:t>
      </w:r>
      <w:r>
        <w:br/>
      </w:r>
      <w:r w:rsidRPr="00F70118">
        <w:t xml:space="preserve">i urządzenia budowlane – stanowi </w:t>
      </w:r>
      <w:r>
        <w:t>4</w:t>
      </w:r>
      <w:r w:rsidRPr="00F70118">
        <w:t xml:space="preserve"> zł </w:t>
      </w:r>
      <w:r>
        <w:t>za</w:t>
      </w:r>
      <w:r w:rsidRPr="00F70118">
        <w:t xml:space="preserve"> 1 m</w:t>
      </w:r>
      <w:r w:rsidRPr="00F70118">
        <w:rPr>
          <w:vertAlign w:val="superscript"/>
        </w:rPr>
        <w:t>2</w:t>
      </w:r>
      <w:r w:rsidRPr="00F70118">
        <w:t xml:space="preserve"> zajętego gruntu;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>związanych z infrastrukturą komunalną i rolną, w tym pod budowle piętrzące i upustowe,</w:t>
      </w:r>
      <w:r w:rsidRPr="00F4061D">
        <w:t xml:space="preserve"> </w:t>
      </w:r>
      <w:r w:rsidRPr="001F79F8">
        <w:rPr>
          <w:color w:val="auto"/>
        </w:rPr>
        <w:t xml:space="preserve">przepławki dla ryb, </w:t>
      </w:r>
      <w:r w:rsidRPr="00F70118">
        <w:rPr>
          <w:color w:val="auto"/>
        </w:rPr>
        <w:t xml:space="preserve">ujęcia wody, pompownie, urządzenia służące do odprowadzania wód lub ścieków, rurociągi oraz fundamenty innych urządzeń budowlanych prowadzonych przez wody, mury oporowe, nabrzeża, bulwary, stałe </w:t>
      </w:r>
      <w:r w:rsidRPr="00F70118">
        <w:rPr>
          <w:color w:val="auto"/>
        </w:rPr>
        <w:lastRenderedPageBreak/>
        <w:t xml:space="preserve">urządzenia służące do połowu ryb i pozyskiwania innych organizmów wodnych oraz pozostałe obiekty i urządzenia budowlane – stanowi 3 zł </w:t>
      </w:r>
      <w:r>
        <w:rPr>
          <w:color w:val="auto"/>
        </w:rPr>
        <w:t>za</w:t>
      </w:r>
      <w:r w:rsidRPr="00F70118">
        <w:rPr>
          <w:color w:val="auto"/>
        </w:rPr>
        <w:t xml:space="preserve"> 1 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 xml:space="preserve"> zajętego gruntu;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 xml:space="preserve">związanych z infrastrukturą telekomunikacyjną – stanowi 20 zł </w:t>
      </w:r>
      <w:r>
        <w:rPr>
          <w:color w:val="auto"/>
        </w:rPr>
        <w:t>za</w:t>
      </w:r>
      <w:r w:rsidRPr="00F70118">
        <w:rPr>
          <w:color w:val="auto"/>
        </w:rPr>
        <w:t xml:space="preserve"> 1 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 xml:space="preserve"> zajętego gruntu;</w:t>
      </w:r>
    </w:p>
    <w:p w:rsidR="00B745B3" w:rsidRDefault="00B745B3" w:rsidP="00B745B3">
      <w:pPr>
        <w:pStyle w:val="numwielop"/>
        <w:numPr>
          <w:ilvl w:val="1"/>
          <w:numId w:val="4"/>
        </w:numPr>
        <w:spacing w:before="0"/>
        <w:rPr>
          <w:color w:val="auto"/>
        </w:rPr>
      </w:pPr>
      <w:r w:rsidRPr="00F70118">
        <w:rPr>
          <w:color w:val="auto"/>
        </w:rPr>
        <w:t>związanych z uprawianiem rekreacji i wypoczynku, turystyki, sportów wodnych oraz amatorskiego połowu ryb przeznaczonych pod:</w:t>
      </w:r>
    </w:p>
    <w:p w:rsidR="00B745B3" w:rsidRPr="004A2061" w:rsidRDefault="00B745B3" w:rsidP="00B745B3">
      <w:pPr>
        <w:pStyle w:val="numwielop"/>
        <w:numPr>
          <w:ilvl w:val="0"/>
          <w:numId w:val="11"/>
        </w:numPr>
        <w:spacing w:before="0"/>
        <w:ind w:left="567" w:hanging="567"/>
        <w:rPr>
          <w:color w:val="auto"/>
        </w:rPr>
      </w:pPr>
      <w:r w:rsidRPr="004A2061">
        <w:rPr>
          <w:color w:val="auto"/>
        </w:rPr>
        <w:t xml:space="preserve">porty, przystanie i zimowiska, nabrzeża, pomosty i wyciągi dla statków – stanowi 5  zł </w:t>
      </w:r>
      <w:r>
        <w:rPr>
          <w:color w:val="auto"/>
        </w:rPr>
        <w:t>za</w:t>
      </w:r>
      <w:r w:rsidRPr="004A2061">
        <w:rPr>
          <w:color w:val="auto"/>
        </w:rPr>
        <w:t xml:space="preserve"> 1 m</w:t>
      </w:r>
      <w:r w:rsidRPr="004A2061">
        <w:rPr>
          <w:color w:val="auto"/>
          <w:vertAlign w:val="superscript"/>
        </w:rPr>
        <w:t>2</w:t>
      </w:r>
      <w:r w:rsidRPr="004A2061">
        <w:rPr>
          <w:color w:val="auto"/>
        </w:rPr>
        <w:t xml:space="preserve"> zajętego gruntu,</w:t>
      </w:r>
    </w:p>
    <w:p w:rsidR="00B745B3" w:rsidRPr="00F70118" w:rsidRDefault="00B745B3" w:rsidP="00B745B3">
      <w:pPr>
        <w:pStyle w:val="numlitery"/>
        <w:numPr>
          <w:ilvl w:val="0"/>
          <w:numId w:val="11"/>
        </w:numPr>
        <w:ind w:left="567" w:hanging="567"/>
      </w:pPr>
      <w:r w:rsidRPr="00F70118">
        <w:t xml:space="preserve">kąpieliska i stałe tory wodne służące do uprawiania sportów wodnych – stanowi 0,05 zł </w:t>
      </w:r>
      <w:r>
        <w:t>za</w:t>
      </w:r>
      <w:r w:rsidRPr="00F70118">
        <w:t xml:space="preserve"> 1 m</w:t>
      </w:r>
      <w:r w:rsidRPr="00F70118">
        <w:rPr>
          <w:vertAlign w:val="superscript"/>
        </w:rPr>
        <w:t>2</w:t>
      </w:r>
      <w:r w:rsidRPr="00F70118">
        <w:t xml:space="preserve"> zajętego gruntu;</w:t>
      </w:r>
    </w:p>
    <w:p w:rsidR="00B745B3" w:rsidRPr="00F70118" w:rsidRDefault="00B745B3" w:rsidP="00B745B3">
      <w:pPr>
        <w:pStyle w:val="numlitery"/>
        <w:numPr>
          <w:ilvl w:val="0"/>
          <w:numId w:val="11"/>
        </w:numPr>
        <w:ind w:left="567" w:hanging="567"/>
      </w:pPr>
      <w:r w:rsidRPr="00F70118">
        <w:t xml:space="preserve">przedsięwzięcia nie wymienione w pkt a i b – stanowi 2 zł </w:t>
      </w:r>
      <w:r>
        <w:t>za</w:t>
      </w:r>
      <w:r w:rsidRPr="00F70118">
        <w:t xml:space="preserve"> 1 m</w:t>
      </w:r>
      <w:r w:rsidRPr="00F70118">
        <w:rPr>
          <w:vertAlign w:val="superscript"/>
        </w:rPr>
        <w:t xml:space="preserve">2 </w:t>
      </w:r>
      <w:r w:rsidRPr="00F70118">
        <w:t xml:space="preserve">; 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 w:line="320" w:lineRule="exact"/>
        <w:rPr>
          <w:color w:val="auto"/>
        </w:rPr>
      </w:pPr>
      <w:r w:rsidRPr="00F70118">
        <w:rPr>
          <w:color w:val="auto"/>
        </w:rPr>
        <w:t xml:space="preserve">związanych z prowadzeniem działalności </w:t>
      </w:r>
      <w:r>
        <w:rPr>
          <w:color w:val="auto"/>
        </w:rPr>
        <w:t xml:space="preserve">gospodarczej, w tym w szczególności </w:t>
      </w:r>
      <w:r w:rsidRPr="00F70118">
        <w:rPr>
          <w:color w:val="auto"/>
        </w:rPr>
        <w:t>handlowej, gastronomicznej, hotelarskiej, rozrywkowej oraz innej o charakterze komercyjn</w:t>
      </w:r>
      <w:r>
        <w:rPr>
          <w:color w:val="auto"/>
        </w:rPr>
        <w:t>ej</w:t>
      </w:r>
      <w:r w:rsidRPr="00F70118">
        <w:rPr>
          <w:color w:val="auto"/>
        </w:rPr>
        <w:t xml:space="preserve">, pod obiektami stałymi lub pływającymi przycumowanymi do brzegu – stanowi 20  zł </w:t>
      </w:r>
      <w:r>
        <w:rPr>
          <w:color w:val="auto"/>
        </w:rPr>
        <w:t>za</w:t>
      </w:r>
      <w:r w:rsidRPr="00F70118">
        <w:rPr>
          <w:color w:val="auto"/>
        </w:rPr>
        <w:t xml:space="preserve"> 1 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 xml:space="preserve"> zajętego gruntu;</w:t>
      </w:r>
    </w:p>
    <w:p w:rsidR="00B745B3" w:rsidRPr="00F70118" w:rsidRDefault="00B745B3" w:rsidP="00B745B3">
      <w:pPr>
        <w:pStyle w:val="numwielop"/>
        <w:numPr>
          <w:ilvl w:val="1"/>
          <w:numId w:val="4"/>
        </w:numPr>
        <w:spacing w:before="0" w:line="320" w:lineRule="exact"/>
        <w:rPr>
          <w:color w:val="auto"/>
        </w:rPr>
      </w:pPr>
      <w:r w:rsidRPr="00F70118">
        <w:rPr>
          <w:color w:val="auto"/>
        </w:rPr>
        <w:t xml:space="preserve">zajętych na pola campingowe, namiotowe, biwakowe – stanowi 5 zł </w:t>
      </w:r>
      <w:r>
        <w:rPr>
          <w:color w:val="auto"/>
        </w:rPr>
        <w:t>za</w:t>
      </w:r>
      <w:r w:rsidRPr="00F70118">
        <w:rPr>
          <w:color w:val="auto"/>
        </w:rPr>
        <w:t xml:space="preserve"> 1 m</w:t>
      </w:r>
      <w:r w:rsidRPr="00F70118">
        <w:rPr>
          <w:color w:val="auto"/>
          <w:vertAlign w:val="superscript"/>
        </w:rPr>
        <w:t>2</w:t>
      </w:r>
      <w:r w:rsidRPr="00F70118">
        <w:rPr>
          <w:color w:val="auto"/>
        </w:rPr>
        <w:t xml:space="preserve"> zajętego gruntu,</w:t>
      </w:r>
    </w:p>
    <w:p w:rsidR="00B745B3" w:rsidRPr="004B54CC" w:rsidRDefault="00B745B3" w:rsidP="00B745B3">
      <w:pPr>
        <w:pStyle w:val="numwielop"/>
        <w:numPr>
          <w:ilvl w:val="1"/>
          <w:numId w:val="4"/>
        </w:numPr>
        <w:spacing w:before="0" w:line="320" w:lineRule="exact"/>
      </w:pPr>
      <w:r w:rsidRPr="00F70118">
        <w:rPr>
          <w:color w:val="auto"/>
        </w:rPr>
        <w:t>zajętych pod tablice informacyjne (np. o szlakach turystycznych, związanych z ochroną przyrody, ścieżkach edukacyjnych) nie związanych z prowadzoną działalnością o</w:t>
      </w:r>
      <w:r>
        <w:rPr>
          <w:color w:val="auto"/>
        </w:rPr>
        <w:t> </w:t>
      </w:r>
      <w:r w:rsidRPr="00F70118">
        <w:rPr>
          <w:color w:val="auto"/>
        </w:rPr>
        <w:t xml:space="preserve">charakterze komercyjnym – stanowi 2 zł </w:t>
      </w:r>
      <w:r>
        <w:rPr>
          <w:color w:val="auto"/>
        </w:rPr>
        <w:t>za</w:t>
      </w:r>
      <w:r w:rsidRPr="00F70118">
        <w:rPr>
          <w:color w:val="auto"/>
        </w:rPr>
        <w:t xml:space="preserve"> 1 m</w:t>
      </w:r>
      <w:r w:rsidRPr="00F70118">
        <w:rPr>
          <w:color w:val="auto"/>
          <w:vertAlign w:val="superscript"/>
        </w:rPr>
        <w:t xml:space="preserve">2  </w:t>
      </w:r>
      <w:r w:rsidRPr="00F70118">
        <w:rPr>
          <w:color w:val="auto"/>
        </w:rPr>
        <w:t>powierzchni tablicy informacyjnej</w:t>
      </w:r>
      <w:r>
        <w:rPr>
          <w:color w:val="auto"/>
        </w:rPr>
        <w:t xml:space="preserve">, </w:t>
      </w:r>
    </w:p>
    <w:p w:rsidR="00B745B3" w:rsidRPr="000C6363" w:rsidRDefault="00B745B3" w:rsidP="00B745B3">
      <w:pPr>
        <w:pStyle w:val="numwielop"/>
        <w:numPr>
          <w:ilvl w:val="1"/>
          <w:numId w:val="4"/>
        </w:numPr>
        <w:spacing w:before="0" w:line="320" w:lineRule="exact"/>
        <w:rPr>
          <w:bCs/>
        </w:rPr>
      </w:pPr>
      <w:r w:rsidRPr="004B54CC">
        <w:rPr>
          <w:color w:val="auto"/>
        </w:rPr>
        <w:t xml:space="preserve">związanych z chowem i hodowlą ryb </w:t>
      </w:r>
      <w:r>
        <w:t xml:space="preserve">- </w:t>
      </w:r>
      <w:r w:rsidRPr="00F70118">
        <w:rPr>
          <w:color w:val="auto"/>
        </w:rPr>
        <w:t>równowartość zł określonej w tabelach 2.1.</w:t>
      </w:r>
      <w:r>
        <w:rPr>
          <w:color w:val="auto"/>
        </w:rPr>
        <w:t xml:space="preserve">1. </w:t>
      </w:r>
      <w:r w:rsidRPr="00F70118">
        <w:rPr>
          <w:color w:val="auto"/>
        </w:rPr>
        <w:t xml:space="preserve"> lub 2.</w:t>
      </w:r>
      <w:r>
        <w:rPr>
          <w:color w:val="auto"/>
        </w:rPr>
        <w:t>1.</w:t>
      </w:r>
      <w:r w:rsidRPr="00F70118">
        <w:rPr>
          <w:color w:val="auto"/>
        </w:rPr>
        <w:t xml:space="preserve">2. z zastosowaniem współczynnika </w:t>
      </w:r>
      <w:r w:rsidRPr="00905877">
        <w:rPr>
          <w:b/>
          <w:color w:val="auto"/>
        </w:rPr>
        <w:t>15,0</w:t>
      </w:r>
      <w:r w:rsidRPr="000C6363">
        <w:rPr>
          <w:bCs/>
          <w:color w:val="auto"/>
        </w:rPr>
        <w:t>.</w:t>
      </w:r>
    </w:p>
    <w:p w:rsidR="00B745B3" w:rsidRDefault="00B745B3" w:rsidP="00B745B3">
      <w:pPr>
        <w:pStyle w:val="numwielop"/>
        <w:numPr>
          <w:ilvl w:val="0"/>
          <w:numId w:val="3"/>
        </w:numPr>
        <w:spacing w:before="0" w:line="320" w:lineRule="exact"/>
        <w:rPr>
          <w:color w:val="auto"/>
        </w:rPr>
      </w:pPr>
      <w:bookmarkStart w:id="5" w:name="x__Hlk57817533"/>
      <w:r w:rsidRPr="00F4061D">
        <w:rPr>
          <w:color w:val="auto"/>
        </w:rPr>
        <w:t>Podstawę wyliczenia rocznego czynszu dzierżawy użytków kopalnych (K) lub</w:t>
      </w:r>
      <w:r>
        <w:rPr>
          <w:color w:val="auto"/>
        </w:rPr>
        <w:t xml:space="preserve"> nieruchomości</w:t>
      </w:r>
      <w:r w:rsidRPr="00F4061D">
        <w:rPr>
          <w:color w:val="auto"/>
        </w:rPr>
        <w:t xml:space="preserve"> użytkowanych w ten sposób, stanowi</w:t>
      </w:r>
      <w:r>
        <w:rPr>
          <w:color w:val="auto"/>
        </w:rPr>
        <w:t xml:space="preserve">: </w:t>
      </w:r>
    </w:p>
    <w:p w:rsidR="00B745B3" w:rsidRDefault="00B745B3" w:rsidP="00B745B3">
      <w:pPr>
        <w:pStyle w:val="numwielop"/>
        <w:numPr>
          <w:ilvl w:val="0"/>
          <w:numId w:val="12"/>
        </w:numPr>
        <w:tabs>
          <w:tab w:val="left" w:pos="142"/>
          <w:tab w:val="left" w:pos="284"/>
        </w:tabs>
        <w:spacing w:before="0" w:line="320" w:lineRule="exact"/>
        <w:ind w:left="284" w:hanging="284"/>
        <w:rPr>
          <w:color w:val="auto"/>
        </w:rPr>
      </w:pPr>
      <w:r w:rsidRPr="00F4061D">
        <w:rPr>
          <w:color w:val="auto"/>
        </w:rPr>
        <w:t>równowartość pieniężn</w:t>
      </w:r>
      <w:r>
        <w:rPr>
          <w:color w:val="auto"/>
        </w:rPr>
        <w:t>a</w:t>
      </w:r>
      <w:r w:rsidRPr="00F4061D">
        <w:rPr>
          <w:color w:val="auto"/>
        </w:rPr>
        <w:t xml:space="preserve"> </w:t>
      </w:r>
      <w:r>
        <w:rPr>
          <w:color w:val="auto"/>
        </w:rPr>
        <w:t xml:space="preserve">pięciokrotności stawki opłaty eksploatacyjnej określonej </w:t>
      </w:r>
      <w:r>
        <w:rPr>
          <w:color w:val="auto"/>
        </w:rPr>
        <w:br/>
        <w:t xml:space="preserve">w obwieszczeniu ministra właściwego ds. środowiska wydanym na podstawie art. 136 </w:t>
      </w:r>
      <w:r>
        <w:rPr>
          <w:color w:val="auto"/>
        </w:rPr>
        <w:br/>
        <w:t>ustawy z dnia 9 czerwca 2011 r. Prawo geologiczne i górnicze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>. Dz. U z 2020 r.,</w:t>
      </w:r>
      <w:r>
        <w:rPr>
          <w:color w:val="auto"/>
        </w:rPr>
        <w:br/>
        <w:t>poz. 1064 )</w:t>
      </w:r>
    </w:p>
    <w:p w:rsidR="00B745B3" w:rsidRDefault="00B745B3" w:rsidP="00B745B3">
      <w:pPr>
        <w:pStyle w:val="numwielop"/>
        <w:numPr>
          <w:ilvl w:val="0"/>
          <w:numId w:val="0"/>
        </w:numPr>
        <w:tabs>
          <w:tab w:val="num" w:pos="0"/>
          <w:tab w:val="left" w:pos="142"/>
        </w:tabs>
        <w:spacing w:before="0" w:line="320" w:lineRule="exact"/>
        <w:ind w:left="284" w:hanging="284"/>
        <w:rPr>
          <w:color w:val="auto"/>
        </w:rPr>
      </w:pPr>
      <w:r>
        <w:rPr>
          <w:color w:val="auto"/>
        </w:rPr>
        <w:t xml:space="preserve">       oraz</w:t>
      </w:r>
      <w:r w:rsidRPr="00F4061D">
        <w:rPr>
          <w:color w:val="auto"/>
        </w:rPr>
        <w:t xml:space="preserve"> </w:t>
      </w:r>
    </w:p>
    <w:p w:rsidR="00B745B3" w:rsidRPr="00F4061D" w:rsidRDefault="00B745B3" w:rsidP="00B745B3">
      <w:pPr>
        <w:pStyle w:val="numwielop"/>
        <w:numPr>
          <w:ilvl w:val="0"/>
          <w:numId w:val="12"/>
        </w:numPr>
        <w:spacing w:before="0" w:line="320" w:lineRule="exact"/>
        <w:ind w:left="425" w:hanging="425"/>
        <w:rPr>
          <w:color w:val="auto"/>
        </w:rPr>
      </w:pPr>
      <w:r>
        <w:rPr>
          <w:color w:val="auto"/>
          <w:shd w:val="clear" w:color="auto" w:fill="FFFFFF"/>
        </w:rPr>
        <w:t xml:space="preserve">powierzchnie zajętego gruntu wykorzystywanego w związku z </w:t>
      </w:r>
      <w:r w:rsidRPr="00F4061D">
        <w:rPr>
          <w:color w:val="auto"/>
          <w:shd w:val="clear" w:color="auto" w:fill="FFFFFF"/>
        </w:rPr>
        <w:t xml:space="preserve">wydobywaniem </w:t>
      </w:r>
      <w:r>
        <w:rPr>
          <w:color w:val="auto"/>
          <w:shd w:val="clear" w:color="auto" w:fill="FFFFFF"/>
        </w:rPr>
        <w:t>kopalin</w:t>
      </w:r>
      <w:r w:rsidRPr="00F4061D">
        <w:rPr>
          <w:color w:val="auto"/>
          <w:shd w:val="clear" w:color="auto" w:fill="FFFFFF"/>
        </w:rPr>
        <w:t xml:space="preserve"> oraz rekultywacją terenów wyrobiska – stanowi 1  zł </w:t>
      </w:r>
      <w:r>
        <w:rPr>
          <w:color w:val="auto"/>
          <w:shd w:val="clear" w:color="auto" w:fill="FFFFFF"/>
        </w:rPr>
        <w:t>za</w:t>
      </w:r>
      <w:r w:rsidRPr="00F4061D">
        <w:rPr>
          <w:color w:val="auto"/>
          <w:shd w:val="clear" w:color="auto" w:fill="FFFFFF"/>
        </w:rPr>
        <w:t xml:space="preserve"> 1 m</w:t>
      </w:r>
      <w:r w:rsidRPr="00F4061D">
        <w:rPr>
          <w:color w:val="auto"/>
          <w:shd w:val="clear" w:color="auto" w:fill="FFFFFF"/>
          <w:vertAlign w:val="superscript"/>
        </w:rPr>
        <w:t>2</w:t>
      </w:r>
      <w:r w:rsidRPr="00F4061D">
        <w:rPr>
          <w:color w:val="auto"/>
          <w:shd w:val="clear" w:color="auto" w:fill="FFFFFF"/>
        </w:rPr>
        <w:t> zajętego gruntu</w:t>
      </w:r>
      <w:r w:rsidRPr="00F4061D">
        <w:rPr>
          <w:color w:val="auto"/>
        </w:rPr>
        <w:t xml:space="preserve">. </w:t>
      </w:r>
    </w:p>
    <w:p w:rsidR="00B745B3" w:rsidRPr="006E31B8" w:rsidRDefault="00B745B3" w:rsidP="00B745B3">
      <w:pPr>
        <w:pStyle w:val="numlitery"/>
        <w:numPr>
          <w:ilvl w:val="0"/>
          <w:numId w:val="0"/>
        </w:numPr>
        <w:shd w:val="clear" w:color="auto" w:fill="FFFFFF"/>
        <w:spacing w:line="320" w:lineRule="exact"/>
        <w:ind w:left="425" w:hanging="425"/>
        <w:rPr>
          <w:rFonts w:ascii="Calibri" w:hAnsi="Calibri" w:cs="Calibri"/>
        </w:rPr>
      </w:pPr>
      <w:r w:rsidRPr="006E31B8">
        <w:rPr>
          <w:rFonts w:ascii="Calibri" w:hAnsi="Calibri" w:cs="Calibri"/>
        </w:rPr>
        <w:t>5.</w:t>
      </w:r>
      <w:r>
        <w:rPr>
          <w:rFonts w:ascii="Calibri" w:hAnsi="Calibri" w:cs="Calibri"/>
          <w:color w:val="2F5496"/>
        </w:rPr>
        <w:t xml:space="preserve"> </w:t>
      </w:r>
      <w:r w:rsidRPr="006E31B8">
        <w:rPr>
          <w:rFonts w:ascii="Calibri" w:hAnsi="Calibri" w:cs="Calibri"/>
        </w:rPr>
        <w:t>Roczny czynsz</w:t>
      </w:r>
      <w:r>
        <w:rPr>
          <w:rFonts w:ascii="Calibri" w:hAnsi="Calibri" w:cs="Calibri"/>
        </w:rPr>
        <w:t xml:space="preserve"> za korzystanie z </w:t>
      </w:r>
      <w:r w:rsidRPr="006E31B8">
        <w:rPr>
          <w:rFonts w:ascii="Calibri" w:hAnsi="Calibri" w:cs="Calibri"/>
        </w:rPr>
        <w:t>budowli piętrzących lub ich części wykorzystywanych na potrzeby elektrowni wodnych stanowi:</w:t>
      </w:r>
      <w:bookmarkEnd w:id="5"/>
    </w:p>
    <w:p w:rsidR="00B745B3" w:rsidRPr="006E31B8" w:rsidRDefault="00B745B3" w:rsidP="00B745B3">
      <w:pPr>
        <w:pStyle w:val="numlitery"/>
        <w:numPr>
          <w:ilvl w:val="0"/>
          <w:numId w:val="0"/>
        </w:numPr>
        <w:shd w:val="clear" w:color="auto" w:fill="FFFFFF"/>
        <w:spacing w:line="320" w:lineRule="exact"/>
        <w:ind w:left="426" w:hanging="426"/>
        <w:rPr>
          <w:rFonts w:ascii="Calibri" w:hAnsi="Calibri" w:cs="Calibri"/>
          <w:color w:val="212121"/>
        </w:rPr>
      </w:pPr>
      <w:r w:rsidRPr="006E31B8">
        <w:rPr>
          <w:rFonts w:ascii="Calibri" w:hAnsi="Calibri" w:cs="Calibri"/>
          <w:color w:val="212121"/>
        </w:rPr>
        <w:t>a)</w:t>
      </w:r>
      <w:r w:rsidRPr="006E31B8">
        <w:rPr>
          <w:color w:val="212121"/>
          <w:sz w:val="14"/>
          <w:szCs w:val="14"/>
        </w:rPr>
        <w:t>       </w:t>
      </w:r>
      <w:r w:rsidRPr="006E31B8">
        <w:rPr>
          <w:rFonts w:ascii="Calibri" w:hAnsi="Calibri" w:cs="Calibri"/>
          <w:color w:val="212121"/>
        </w:rPr>
        <w:t xml:space="preserve">nie mniej niż </w:t>
      </w:r>
      <w:r>
        <w:rPr>
          <w:rFonts w:ascii="Calibri" w:hAnsi="Calibri" w:cs="Calibri"/>
          <w:color w:val="212121"/>
        </w:rPr>
        <w:t>7</w:t>
      </w:r>
      <w:r w:rsidRPr="006E31B8">
        <w:rPr>
          <w:rFonts w:ascii="Calibri" w:hAnsi="Calibri" w:cs="Calibri"/>
          <w:color w:val="212121"/>
        </w:rPr>
        <w:t xml:space="preserve"> % </w:t>
      </w:r>
      <w:r>
        <w:rPr>
          <w:rFonts w:ascii="Calibri" w:hAnsi="Calibri" w:cs="Calibri"/>
          <w:color w:val="212121"/>
        </w:rPr>
        <w:t xml:space="preserve">całego </w:t>
      </w:r>
      <w:r w:rsidRPr="006E31B8">
        <w:rPr>
          <w:rFonts w:ascii="Calibri" w:hAnsi="Calibri" w:cs="Calibri"/>
          <w:color w:val="212121"/>
        </w:rPr>
        <w:t>przychodu rocznego od wyprodukowanej energii elektrycznej (określonej na podstawie oświadczenia</w:t>
      </w:r>
      <w:r>
        <w:rPr>
          <w:rFonts w:ascii="Calibri" w:hAnsi="Calibri" w:cs="Calibri"/>
          <w:color w:val="212121"/>
        </w:rPr>
        <w:t>),</w:t>
      </w:r>
    </w:p>
    <w:p w:rsidR="00B745B3" w:rsidRPr="006E31B8" w:rsidRDefault="00B745B3" w:rsidP="00B745B3">
      <w:pPr>
        <w:pStyle w:val="numlitery"/>
        <w:numPr>
          <w:ilvl w:val="0"/>
          <w:numId w:val="0"/>
        </w:numPr>
        <w:shd w:val="clear" w:color="auto" w:fill="FFFFFF"/>
        <w:spacing w:line="320" w:lineRule="exact"/>
        <w:ind w:left="426" w:hanging="426"/>
        <w:rPr>
          <w:rFonts w:ascii="Calibri" w:hAnsi="Calibri" w:cs="Calibri"/>
          <w:color w:val="212121"/>
        </w:rPr>
      </w:pPr>
      <w:r w:rsidRPr="006E31B8">
        <w:rPr>
          <w:rFonts w:ascii="Calibri" w:hAnsi="Calibri" w:cs="Calibri"/>
          <w:color w:val="212121"/>
        </w:rPr>
        <w:t>b)</w:t>
      </w:r>
      <w:r w:rsidRPr="006E31B8">
        <w:rPr>
          <w:color w:val="212121"/>
          <w:sz w:val="14"/>
          <w:szCs w:val="14"/>
        </w:rPr>
        <w:t>       </w:t>
      </w:r>
      <w:r w:rsidRPr="006E31B8">
        <w:rPr>
          <w:rFonts w:ascii="Calibri" w:hAnsi="Calibri" w:cs="Calibri"/>
          <w:color w:val="212121"/>
        </w:rPr>
        <w:t>jednak nie mniej niż wartość czynszu wyliczona wg stawki za powierzchnię urządzenia stanowiącego przedmiot dzierżawy, wynoszącą:</w:t>
      </w:r>
    </w:p>
    <w:p w:rsidR="00B745B3" w:rsidRPr="006E31B8" w:rsidRDefault="00B745B3" w:rsidP="00B745B3">
      <w:pPr>
        <w:pStyle w:val="numlitery"/>
        <w:numPr>
          <w:ilvl w:val="0"/>
          <w:numId w:val="0"/>
        </w:numPr>
        <w:shd w:val="clear" w:color="auto" w:fill="FFFFFF"/>
        <w:spacing w:line="320" w:lineRule="exact"/>
        <w:ind w:left="426" w:hanging="426"/>
        <w:rPr>
          <w:rFonts w:ascii="Calibri" w:hAnsi="Calibri" w:cs="Calibri"/>
          <w:color w:val="212121"/>
        </w:rPr>
      </w:pPr>
      <w:r w:rsidRPr="006E31B8">
        <w:rPr>
          <w:rFonts w:ascii="Calibri" w:hAnsi="Calibri" w:cs="Calibri"/>
          <w:color w:val="212121"/>
        </w:rPr>
        <w:t xml:space="preserve">- 15 zł </w:t>
      </w:r>
      <w:r>
        <w:rPr>
          <w:rFonts w:ascii="Calibri" w:hAnsi="Calibri" w:cs="Calibri"/>
          <w:color w:val="212121"/>
        </w:rPr>
        <w:t>za</w:t>
      </w:r>
      <w:r w:rsidRPr="006E31B8">
        <w:rPr>
          <w:rFonts w:ascii="Calibri" w:hAnsi="Calibri" w:cs="Calibri"/>
          <w:color w:val="212121"/>
        </w:rPr>
        <w:t xml:space="preserve"> 1 m</w:t>
      </w:r>
      <w:r w:rsidRPr="006E31B8">
        <w:rPr>
          <w:rFonts w:ascii="Calibri" w:hAnsi="Calibri" w:cs="Calibri"/>
          <w:color w:val="212121"/>
          <w:vertAlign w:val="superscript"/>
        </w:rPr>
        <w:t>2</w:t>
      </w:r>
      <w:r w:rsidRPr="006E31B8">
        <w:rPr>
          <w:rFonts w:ascii="Calibri" w:hAnsi="Calibri" w:cs="Calibri"/>
          <w:color w:val="212121"/>
        </w:rPr>
        <w:t> od powierzchni zajętej pod obiekty budowlane elektrowni wodnej wydzierżawiającego;</w:t>
      </w:r>
    </w:p>
    <w:p w:rsidR="00B745B3" w:rsidRPr="006E31B8" w:rsidRDefault="00B745B3" w:rsidP="00B745B3">
      <w:pPr>
        <w:pStyle w:val="numlitery"/>
        <w:numPr>
          <w:ilvl w:val="0"/>
          <w:numId w:val="0"/>
        </w:numPr>
        <w:shd w:val="clear" w:color="auto" w:fill="FFFFFF"/>
        <w:spacing w:line="320" w:lineRule="exact"/>
        <w:ind w:left="426" w:hanging="426"/>
        <w:rPr>
          <w:rFonts w:ascii="Calibri" w:hAnsi="Calibri" w:cs="Calibri"/>
          <w:color w:val="212121"/>
        </w:rPr>
      </w:pPr>
      <w:r w:rsidRPr="006E31B8">
        <w:rPr>
          <w:rFonts w:ascii="Calibri" w:hAnsi="Calibri" w:cs="Calibri"/>
          <w:color w:val="212121"/>
        </w:rPr>
        <w:t xml:space="preserve">- 4 zł </w:t>
      </w:r>
      <w:r>
        <w:rPr>
          <w:rFonts w:ascii="Calibri" w:hAnsi="Calibri" w:cs="Calibri"/>
          <w:color w:val="212121"/>
        </w:rPr>
        <w:t>za</w:t>
      </w:r>
      <w:r w:rsidRPr="006E31B8">
        <w:rPr>
          <w:rFonts w:ascii="Calibri" w:hAnsi="Calibri" w:cs="Calibri"/>
          <w:color w:val="212121"/>
        </w:rPr>
        <w:t xml:space="preserve"> 1 m</w:t>
      </w:r>
      <w:r w:rsidRPr="006E31B8">
        <w:rPr>
          <w:rFonts w:ascii="Calibri" w:hAnsi="Calibri" w:cs="Calibri"/>
          <w:color w:val="212121"/>
          <w:vertAlign w:val="superscript"/>
        </w:rPr>
        <w:t>2</w:t>
      </w:r>
      <w:r w:rsidRPr="006E31B8">
        <w:rPr>
          <w:rFonts w:ascii="Calibri" w:hAnsi="Calibri" w:cs="Calibri"/>
          <w:color w:val="212121"/>
        </w:rPr>
        <w:t> od powierzchni budowli piętrzącej stanowiącej własność dzierżawcy wraz z</w:t>
      </w:r>
      <w:r>
        <w:rPr>
          <w:rFonts w:ascii="Calibri" w:hAnsi="Calibri" w:cs="Calibri"/>
          <w:color w:val="212121"/>
        </w:rPr>
        <w:t> </w:t>
      </w:r>
      <w:r w:rsidRPr="006E31B8">
        <w:rPr>
          <w:rFonts w:ascii="Calibri" w:hAnsi="Calibri" w:cs="Calibri"/>
          <w:color w:val="212121"/>
        </w:rPr>
        <w:t>pozostałymi obiektami i</w:t>
      </w:r>
      <w:r>
        <w:rPr>
          <w:rFonts w:ascii="Calibri" w:hAnsi="Calibri" w:cs="Calibri"/>
          <w:color w:val="212121"/>
        </w:rPr>
        <w:t> </w:t>
      </w:r>
      <w:r w:rsidRPr="006E31B8">
        <w:rPr>
          <w:rFonts w:ascii="Calibri" w:hAnsi="Calibri" w:cs="Calibri"/>
          <w:color w:val="212121"/>
        </w:rPr>
        <w:t>urządzeniami budowlanymi z nią związanymi wykorzystywanymi na cele energetyczne przez wydzierżawiającego. </w:t>
      </w:r>
    </w:p>
    <w:p w:rsidR="00B745B3" w:rsidRPr="006E31B8" w:rsidRDefault="00B745B3" w:rsidP="00B745B3">
      <w:pPr>
        <w:pStyle w:val="numwielop"/>
        <w:numPr>
          <w:ilvl w:val="0"/>
          <w:numId w:val="10"/>
        </w:numPr>
        <w:spacing w:before="0" w:line="320" w:lineRule="exact"/>
        <w:rPr>
          <w:color w:val="auto"/>
        </w:rPr>
      </w:pPr>
      <w:r w:rsidRPr="006E31B8">
        <w:rPr>
          <w:color w:val="auto"/>
        </w:rPr>
        <w:t xml:space="preserve">Roczny czynsz od budynków, budowli i urządzeń, z zastrzeżeniem ust.  5, stanowi nie mniej niż </w:t>
      </w:r>
      <w:r w:rsidRPr="006E31B8">
        <w:rPr>
          <w:b/>
          <w:color w:val="auto"/>
        </w:rPr>
        <w:t>2%</w:t>
      </w:r>
      <w:r w:rsidRPr="006E31B8">
        <w:rPr>
          <w:color w:val="auto"/>
        </w:rPr>
        <w:t xml:space="preserve"> ich wartości początkowej, z zastosowaniem współczynnika od 0,05 do 0,95 </w:t>
      </w:r>
      <w:r w:rsidRPr="006E31B8">
        <w:rPr>
          <w:color w:val="auto"/>
        </w:rPr>
        <w:lastRenderedPageBreak/>
        <w:t>w zależności od stanu technicznego, położenia obiektu oraz charakteru wykorzystania budynku lub budowli (korzystanie zwykłe, cel publiczny, działalność gospodarcza itd.).</w:t>
      </w:r>
      <w:bookmarkStart w:id="6" w:name="_Ref245803980"/>
      <w:r w:rsidRPr="006E31B8">
        <w:rPr>
          <w:color w:val="auto"/>
        </w:rPr>
        <w:t xml:space="preserve"> </w:t>
      </w:r>
    </w:p>
    <w:bookmarkEnd w:id="6"/>
    <w:p w:rsidR="00B745B3" w:rsidRPr="006E31B8" w:rsidRDefault="00B745B3" w:rsidP="00B745B3">
      <w:pPr>
        <w:pStyle w:val="numwielop"/>
        <w:spacing w:before="0" w:line="320" w:lineRule="exact"/>
        <w:rPr>
          <w:color w:val="auto"/>
        </w:rPr>
      </w:pPr>
      <w:r w:rsidRPr="006E31B8">
        <w:rPr>
          <w:color w:val="auto"/>
        </w:rPr>
        <w:t xml:space="preserve">Jednorazowa opłata za czasowe zajęcie nieruchomości  (liczona w dniach, maksymalnie na okres do 30 dni) - stanowi  2 zł </w:t>
      </w:r>
      <w:r>
        <w:rPr>
          <w:color w:val="auto"/>
        </w:rPr>
        <w:t>za</w:t>
      </w:r>
      <w:r w:rsidRPr="006E31B8">
        <w:rPr>
          <w:color w:val="auto"/>
        </w:rPr>
        <w:t xml:space="preserve"> 1 m</w:t>
      </w:r>
      <w:r w:rsidRPr="006E31B8">
        <w:rPr>
          <w:color w:val="auto"/>
          <w:vertAlign w:val="superscript"/>
        </w:rPr>
        <w:t xml:space="preserve">2   </w:t>
      </w:r>
      <w:r w:rsidRPr="006E31B8">
        <w:rPr>
          <w:color w:val="auto"/>
        </w:rPr>
        <w:t>za każdy dzień zajęcia nieruchomości, nie mniej niż 50</w:t>
      </w:r>
      <w:r>
        <w:rPr>
          <w:color w:val="auto"/>
        </w:rPr>
        <w:t> </w:t>
      </w:r>
      <w:r w:rsidRPr="006E31B8">
        <w:rPr>
          <w:color w:val="auto"/>
        </w:rPr>
        <w:t xml:space="preserve">zł za każdy dzień. Zajęcie nieruchomości przez okres krótszy niż 24 godziny traktowane jest jako zajęcie jej przez 1 dzień. Rozpoczęcie doby jest kolejnym dniem zajęcia. </w:t>
      </w:r>
    </w:p>
    <w:p w:rsidR="00B745B3" w:rsidRPr="006E31B8" w:rsidRDefault="00B745B3" w:rsidP="00B745B3">
      <w:pPr>
        <w:pStyle w:val="numwielop"/>
        <w:spacing w:before="0" w:line="320" w:lineRule="exact"/>
        <w:rPr>
          <w:color w:val="auto"/>
        </w:rPr>
      </w:pPr>
      <w:r w:rsidRPr="006E31B8">
        <w:rPr>
          <w:color w:val="auto"/>
        </w:rPr>
        <w:t>Roczny czynsz za korzystanie z nieruchomości w inny sposób niż wskazany od  ust. 2 do ust. 7 stanowi – równowartość pieniężna 4-krotności</w:t>
      </w:r>
      <w:r w:rsidRPr="006E31B8">
        <w:rPr>
          <w:b/>
          <w:color w:val="auto"/>
        </w:rPr>
        <w:t xml:space="preserve"> </w:t>
      </w:r>
      <w:r w:rsidRPr="006E31B8">
        <w:rPr>
          <w:color w:val="auto"/>
        </w:rPr>
        <w:t>górnej stawki podatku od nieruchomości za 1 m</w:t>
      </w:r>
      <w:r w:rsidRPr="006E31B8">
        <w:rPr>
          <w:color w:val="auto"/>
          <w:vertAlign w:val="superscript"/>
        </w:rPr>
        <w:t>2</w:t>
      </w:r>
      <w:r w:rsidRPr="006E31B8">
        <w:rPr>
          <w:color w:val="auto"/>
        </w:rPr>
        <w:t xml:space="preserve">. </w:t>
      </w:r>
    </w:p>
    <w:p w:rsidR="00AE0841" w:rsidRDefault="00AE0841">
      <w:bookmarkStart w:id="7" w:name="_GoBack"/>
      <w:bookmarkEnd w:id="7"/>
    </w:p>
    <w:sectPr w:rsidR="00AE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363C"/>
    <w:multiLevelType w:val="multilevel"/>
    <w:tmpl w:val="CA687800"/>
    <w:lvl w:ilvl="0">
      <w:start w:val="1"/>
      <w:numFmt w:val="decimal"/>
      <w:pStyle w:val="numwielop"/>
      <w:lvlText w:val="%1."/>
      <w:lvlJc w:val="left"/>
      <w:pPr>
        <w:tabs>
          <w:tab w:val="num" w:pos="0"/>
        </w:tabs>
        <w:ind w:left="397" w:hanging="397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F70BC6"/>
    <w:multiLevelType w:val="hybridMultilevel"/>
    <w:tmpl w:val="AEC43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0BA9"/>
    <w:multiLevelType w:val="hybridMultilevel"/>
    <w:tmpl w:val="FCCEF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31C95"/>
    <w:multiLevelType w:val="hybridMultilevel"/>
    <w:tmpl w:val="61D47312"/>
    <w:lvl w:ilvl="0" w:tplc="04150017">
      <w:start w:val="1"/>
      <w:numFmt w:val="lowerLetter"/>
      <w:pStyle w:val="numlitery"/>
      <w:lvlText w:val="%1)"/>
      <w:lvlJc w:val="left"/>
      <w:pPr>
        <w:ind w:left="397" w:hanging="397"/>
      </w:pPr>
      <w:rPr>
        <w:rFonts w:hint="default"/>
      </w:rPr>
    </w:lvl>
    <w:lvl w:ilvl="1" w:tplc="F2869EBA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Calibri" w:hAnsi="Calibri" w:cs="Albertus Extra Bold" w:hint="default"/>
      </w:rPr>
    </w:lvl>
    <w:lvl w:ilvl="2" w:tplc="52B2DBE0">
      <w:start w:val="1"/>
      <w:numFmt w:val="bullet"/>
      <w:lvlText w:val="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3" w:tplc="C712A7B0">
      <w:start w:val="2"/>
      <w:numFmt w:val="decimal"/>
      <w:lvlText w:val="%4"/>
      <w:lvlJc w:val="left"/>
      <w:pPr>
        <w:ind w:left="1800" w:hanging="360"/>
      </w:pPr>
      <w:rPr>
        <w:rFonts w:hint="default"/>
      </w:rPr>
    </w:lvl>
    <w:lvl w:ilvl="4" w:tplc="F6E677E0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1"/>
    </w:lvlOverride>
    <w:lvlOverride w:ilvl="1">
      <w:startOverride w:val="2"/>
    </w:lvlOverride>
  </w:num>
  <w:num w:numId="10">
    <w:abstractNumId w:val="0"/>
    <w:lvlOverride w:ilvl="0">
      <w:startOverride w:val="6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B3"/>
    <w:rsid w:val="00AE0841"/>
    <w:rsid w:val="00B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8D40-CC5F-425F-A455-2E62FEEE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745B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745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74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wielop">
    <w:name w:val="num_wielop"/>
    <w:basedOn w:val="NormalnyWeb"/>
    <w:link w:val="numwielopZnak"/>
    <w:qFormat/>
    <w:rsid w:val="00B745B3"/>
    <w:pPr>
      <w:numPr>
        <w:numId w:val="2"/>
      </w:numPr>
      <w:spacing w:before="240" w:line="340" w:lineRule="exact"/>
      <w:contextualSpacing/>
      <w:jc w:val="both"/>
    </w:pPr>
    <w:rPr>
      <w:rFonts w:asciiTheme="minorHAnsi" w:hAnsiTheme="minorHAnsi" w:cstheme="minorHAnsi"/>
      <w:color w:val="2F5496" w:themeColor="accent1" w:themeShade="BF"/>
    </w:rPr>
  </w:style>
  <w:style w:type="character" w:customStyle="1" w:styleId="numwielopZnak">
    <w:name w:val="num_wielop Znak"/>
    <w:basedOn w:val="Domylnaczcionkaakapitu"/>
    <w:link w:val="numwielop"/>
    <w:rsid w:val="00B745B3"/>
    <w:rPr>
      <w:rFonts w:eastAsia="Times New Roman" w:cstheme="minorHAnsi"/>
      <w:color w:val="2F5496" w:themeColor="accent1" w:themeShade="BF"/>
      <w:sz w:val="24"/>
      <w:szCs w:val="24"/>
      <w:lang w:eastAsia="pl-PL"/>
    </w:rPr>
  </w:style>
  <w:style w:type="paragraph" w:customStyle="1" w:styleId="normcal12">
    <w:name w:val="norm_cal_12"/>
    <w:basedOn w:val="Normalny"/>
    <w:link w:val="normcal12Znak"/>
    <w:qFormat/>
    <w:rsid w:val="00B745B3"/>
    <w:pPr>
      <w:spacing w:line="340" w:lineRule="exact"/>
      <w:jc w:val="both"/>
    </w:pPr>
    <w:rPr>
      <w:rFonts w:asciiTheme="minorHAnsi" w:hAnsiTheme="minorHAnsi" w:cstheme="minorHAnsi"/>
      <w:bCs/>
    </w:rPr>
  </w:style>
  <w:style w:type="character" w:customStyle="1" w:styleId="normcal12Znak">
    <w:name w:val="norm_cal_12 Znak"/>
    <w:basedOn w:val="Domylnaczcionkaakapitu"/>
    <w:link w:val="normcal12"/>
    <w:rsid w:val="00B745B3"/>
    <w:rPr>
      <w:rFonts w:eastAsia="Times New Roman" w:cstheme="minorHAnsi"/>
      <w:bCs/>
      <w:sz w:val="24"/>
      <w:szCs w:val="24"/>
      <w:lang w:eastAsia="pl-PL"/>
    </w:rPr>
  </w:style>
  <w:style w:type="paragraph" w:customStyle="1" w:styleId="numlitery">
    <w:name w:val="num_litery"/>
    <w:basedOn w:val="NormalnyWeb"/>
    <w:link w:val="numliteryZnak"/>
    <w:qFormat/>
    <w:rsid w:val="00B745B3"/>
    <w:pPr>
      <w:numPr>
        <w:numId w:val="1"/>
      </w:numPr>
      <w:spacing w:line="340" w:lineRule="exact"/>
      <w:jc w:val="both"/>
    </w:pPr>
    <w:rPr>
      <w:rFonts w:asciiTheme="minorHAnsi" w:hAnsiTheme="minorHAnsi" w:cstheme="minorHAnsi"/>
    </w:rPr>
  </w:style>
  <w:style w:type="character" w:customStyle="1" w:styleId="numliteryZnak">
    <w:name w:val="num_litery Znak"/>
    <w:basedOn w:val="Domylnaczcionkaakapitu"/>
    <w:link w:val="numlitery"/>
    <w:rsid w:val="00B745B3"/>
    <w:rPr>
      <w:rFonts w:eastAsia="Times New Roman" w:cstheme="minorHAns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Chemicz (RZGW Kraków)</dc:creator>
  <cp:keywords/>
  <dc:description/>
  <cp:lastModifiedBy>Anna Chemicz (RZGW Kraków)</cp:lastModifiedBy>
  <cp:revision>1</cp:revision>
  <dcterms:created xsi:type="dcterms:W3CDTF">2020-12-28T13:59:00Z</dcterms:created>
  <dcterms:modified xsi:type="dcterms:W3CDTF">2020-12-28T14:00:00Z</dcterms:modified>
</cp:coreProperties>
</file>